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50" w:rsidRDefault="009D2450" w:rsidP="009D2450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5B4C70">
        <w:rPr>
          <w:rFonts w:ascii="Book Antiqua" w:hAnsi="Book Antiqua"/>
          <w:b/>
          <w:sz w:val="28"/>
          <w:szCs w:val="28"/>
        </w:rPr>
        <w:t>FORMULARZ ZGŁASZANIA UWAG</w:t>
      </w:r>
    </w:p>
    <w:p w:rsidR="00CB5BB9" w:rsidRPr="005B4C70" w:rsidRDefault="00024C99" w:rsidP="009D2450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</w:t>
      </w:r>
      <w:r w:rsidR="00CB5BB9">
        <w:rPr>
          <w:rFonts w:ascii="Book Antiqua" w:hAnsi="Book Antiqua"/>
          <w:b/>
          <w:sz w:val="28"/>
          <w:szCs w:val="28"/>
        </w:rPr>
        <w:t xml:space="preserve">o projektu </w:t>
      </w:r>
      <w:r w:rsidR="008B1B65">
        <w:rPr>
          <w:rFonts w:ascii="Book Antiqua" w:hAnsi="Book Antiqua"/>
          <w:b/>
          <w:sz w:val="28"/>
          <w:szCs w:val="28"/>
        </w:rPr>
        <w:t>zmian w Strategii Rozwoju Lokalnego Kierowanego przez Społeczność (LSR) na okres programowania PROW 2014-2020</w:t>
      </w:r>
      <w:r w:rsidR="00CB5BB9">
        <w:rPr>
          <w:rFonts w:ascii="Book Antiqua" w:hAnsi="Book Antiqua"/>
          <w:b/>
          <w:sz w:val="28"/>
          <w:szCs w:val="28"/>
        </w:rPr>
        <w:t xml:space="preserve"> Stowarzyszenia „Poleska Dolina Bugu”</w:t>
      </w:r>
    </w:p>
    <w:p w:rsidR="00225B94" w:rsidRDefault="00225B94" w:rsidP="009C5943">
      <w:pPr>
        <w:spacing w:after="0"/>
        <w:rPr>
          <w:rFonts w:ascii="Book Antiqua" w:hAnsi="Book Antiqua"/>
          <w:b/>
          <w:u w:val="single"/>
        </w:rPr>
      </w:pPr>
    </w:p>
    <w:p w:rsidR="00F80AF9" w:rsidRDefault="009C5943" w:rsidP="009C5943">
      <w:pPr>
        <w:spacing w:after="0"/>
        <w:rPr>
          <w:rFonts w:ascii="Book Antiqua" w:hAnsi="Book Antiqua"/>
          <w:b/>
          <w:u w:val="single"/>
        </w:rPr>
      </w:pPr>
      <w:r w:rsidRPr="00DB3677">
        <w:rPr>
          <w:rFonts w:ascii="Book Antiqua" w:hAnsi="Book Antiqua"/>
          <w:b/>
          <w:u w:val="single"/>
        </w:rPr>
        <w:t>Uzasadnienie projektowanej przez LGD Stowarzyszenie „Poleska Dolina Bugu” zmiany Lokalnej Strategii Rozwoju:</w:t>
      </w:r>
    </w:p>
    <w:p w:rsidR="00225B94" w:rsidRPr="00DB3677" w:rsidRDefault="00225B94" w:rsidP="009C5943">
      <w:pPr>
        <w:spacing w:after="0"/>
        <w:rPr>
          <w:rFonts w:ascii="Book Antiqua" w:hAnsi="Book Antiqua"/>
          <w:b/>
          <w:u w:val="single"/>
        </w:rPr>
      </w:pPr>
    </w:p>
    <w:p w:rsidR="009C5943" w:rsidRPr="00556C68" w:rsidRDefault="009C5943" w:rsidP="00B2303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56C68">
        <w:rPr>
          <w:rFonts w:ascii="Book Antiqua" w:hAnsi="Book Antiqua"/>
          <w:sz w:val="24"/>
          <w:szCs w:val="24"/>
        </w:rPr>
        <w:t xml:space="preserve">Zaprezentowane poniżej zmiany w LSR Stowarzyszenia „Poleska Dolina Bugu” mają na celu wydatkowanie oszczędności z budżetu poddziałania 19.2 (wdrażanie LSR) powstałych w wyniku przeprowadzonych przetargów i postępowań konkurencyjnych </w:t>
      </w:r>
      <w:r w:rsidR="00546935">
        <w:rPr>
          <w:rFonts w:ascii="Book Antiqua" w:hAnsi="Book Antiqua"/>
          <w:sz w:val="24"/>
          <w:szCs w:val="24"/>
        </w:rPr>
        <w:t>obowiązujących beneficjentów PROW 2014-2020</w:t>
      </w:r>
      <w:r w:rsidRPr="00556C68">
        <w:rPr>
          <w:rFonts w:ascii="Book Antiqua" w:hAnsi="Book Antiqua"/>
          <w:sz w:val="24"/>
          <w:szCs w:val="24"/>
        </w:rPr>
        <w:t xml:space="preserve">. </w:t>
      </w:r>
      <w:r w:rsidR="00225B94" w:rsidRPr="00556C68">
        <w:rPr>
          <w:rFonts w:ascii="Book Antiqua" w:hAnsi="Book Antiqua"/>
          <w:sz w:val="24"/>
          <w:szCs w:val="24"/>
        </w:rPr>
        <w:t xml:space="preserve">Na dzień </w:t>
      </w:r>
      <w:r w:rsidR="00B23035">
        <w:rPr>
          <w:rFonts w:ascii="Book Antiqua" w:hAnsi="Book Antiqua"/>
          <w:sz w:val="24"/>
          <w:szCs w:val="24"/>
        </w:rPr>
        <w:t>11.05.2018r.</w:t>
      </w:r>
      <w:r w:rsidR="00225B94" w:rsidRPr="00556C68">
        <w:rPr>
          <w:rFonts w:ascii="Book Antiqua" w:hAnsi="Book Antiqua"/>
          <w:sz w:val="24"/>
          <w:szCs w:val="24"/>
        </w:rPr>
        <w:t xml:space="preserve"> oszczędności te stanowią kwotę:</w:t>
      </w:r>
      <w:r w:rsidR="00546935">
        <w:rPr>
          <w:rFonts w:ascii="Book Antiqua" w:hAnsi="Book Antiqua"/>
          <w:sz w:val="24"/>
          <w:szCs w:val="24"/>
        </w:rPr>
        <w:t xml:space="preserve"> </w:t>
      </w:r>
      <w:r w:rsidR="00546935" w:rsidRPr="00546935">
        <w:rPr>
          <w:rFonts w:ascii="Book Antiqua" w:hAnsi="Book Antiqua"/>
          <w:b/>
          <w:sz w:val="24"/>
          <w:szCs w:val="24"/>
        </w:rPr>
        <w:t>333 288,49</w:t>
      </w:r>
      <w:r w:rsidR="00225B94" w:rsidRPr="00546935">
        <w:rPr>
          <w:rFonts w:ascii="Book Antiqua" w:hAnsi="Book Antiqua"/>
          <w:b/>
          <w:sz w:val="24"/>
          <w:szCs w:val="24"/>
        </w:rPr>
        <w:t xml:space="preserve"> zł.</w:t>
      </w:r>
      <w:r w:rsidR="00225B94" w:rsidRPr="00556C68">
        <w:rPr>
          <w:rFonts w:ascii="Book Antiqua" w:hAnsi="Book Antiqua"/>
          <w:sz w:val="24"/>
          <w:szCs w:val="24"/>
        </w:rPr>
        <w:t xml:space="preserve"> </w:t>
      </w:r>
      <w:r w:rsidR="00546935">
        <w:rPr>
          <w:rFonts w:ascii="Book Antiqua" w:hAnsi="Book Antiqua"/>
          <w:sz w:val="24"/>
          <w:szCs w:val="24"/>
        </w:rPr>
        <w:t>Z powodu</w:t>
      </w:r>
      <w:r w:rsidRPr="00556C68">
        <w:rPr>
          <w:rFonts w:ascii="Book Antiqua" w:hAnsi="Book Antiqua"/>
          <w:sz w:val="24"/>
          <w:szCs w:val="24"/>
        </w:rPr>
        <w:t xml:space="preserve"> osiągnięci</w:t>
      </w:r>
      <w:r w:rsidR="00546935">
        <w:rPr>
          <w:rFonts w:ascii="Book Antiqua" w:hAnsi="Book Antiqua"/>
          <w:sz w:val="24"/>
          <w:szCs w:val="24"/>
        </w:rPr>
        <w:t>a</w:t>
      </w:r>
      <w:r w:rsidRPr="00556C68">
        <w:rPr>
          <w:rFonts w:ascii="Book Antiqua" w:hAnsi="Book Antiqua"/>
          <w:sz w:val="24"/>
          <w:szCs w:val="24"/>
        </w:rPr>
        <w:t xml:space="preserve"> założonych wskaźników poddziałania 19.2, wydatkowanie oszczędności jest możliwe pod warunkiem podniesienia wartości docelowej wskaźników</w:t>
      </w:r>
      <w:r w:rsidR="00DB3677" w:rsidRPr="00556C68">
        <w:rPr>
          <w:rFonts w:ascii="Book Antiqua" w:hAnsi="Book Antiqua"/>
          <w:sz w:val="24"/>
          <w:szCs w:val="24"/>
        </w:rPr>
        <w:t xml:space="preserve"> lub wprowadzenia nowych wskaźników</w:t>
      </w:r>
      <w:r w:rsidRPr="00556C68">
        <w:rPr>
          <w:rFonts w:ascii="Book Antiqua" w:hAnsi="Book Antiqua"/>
          <w:sz w:val="24"/>
          <w:szCs w:val="24"/>
        </w:rPr>
        <w:t xml:space="preserve">. W związku z partycypacyjnym charakterem LSR, LGD w dniach </w:t>
      </w:r>
      <w:r w:rsidR="00B23035">
        <w:rPr>
          <w:rFonts w:ascii="Book Antiqua" w:hAnsi="Book Antiqua"/>
          <w:sz w:val="24"/>
          <w:szCs w:val="24"/>
        </w:rPr>
        <w:t>19.04.2018r. – 11.05.2018r.</w:t>
      </w:r>
      <w:r w:rsidRPr="00556C68">
        <w:rPr>
          <w:rFonts w:ascii="Book Antiqua" w:hAnsi="Book Antiqua"/>
          <w:sz w:val="24"/>
          <w:szCs w:val="24"/>
        </w:rPr>
        <w:t xml:space="preserve"> przeprowadziła badanie ankietowe, które miało na celu zdiagnozowanie oczekiwanych kierunków wydatkowania oszczędności.</w:t>
      </w:r>
      <w:r w:rsidR="00556C68" w:rsidRPr="00556C68">
        <w:rPr>
          <w:rFonts w:ascii="Book Antiqua" w:hAnsi="Book Antiqua"/>
          <w:sz w:val="24"/>
          <w:szCs w:val="24"/>
        </w:rPr>
        <w:t xml:space="preserve"> Respondenci zostali poproszeni</w:t>
      </w:r>
      <w:r w:rsidRPr="00556C68">
        <w:rPr>
          <w:rFonts w:ascii="Book Antiqua" w:hAnsi="Book Antiqua"/>
          <w:sz w:val="24"/>
          <w:szCs w:val="24"/>
        </w:rPr>
        <w:t xml:space="preserve"> o wskazanie, na jaki rodzaj inwestycji należy wydać oszczędności. W badaniu wzięło udział </w:t>
      </w:r>
      <w:r w:rsidR="00D6762A">
        <w:rPr>
          <w:rFonts w:ascii="Book Antiqua" w:hAnsi="Book Antiqua"/>
          <w:sz w:val="24"/>
          <w:szCs w:val="24"/>
        </w:rPr>
        <w:t>65</w:t>
      </w:r>
      <w:r w:rsidRPr="00556C68">
        <w:rPr>
          <w:rFonts w:ascii="Book Antiqua" w:hAnsi="Book Antiqua"/>
          <w:sz w:val="24"/>
          <w:szCs w:val="24"/>
        </w:rPr>
        <w:t xml:space="preserve"> osób, spośród których </w:t>
      </w:r>
      <w:r w:rsidR="00D6762A">
        <w:rPr>
          <w:rFonts w:ascii="Book Antiqua" w:hAnsi="Book Antiqua"/>
          <w:sz w:val="24"/>
          <w:szCs w:val="24"/>
        </w:rPr>
        <w:t>63,1</w:t>
      </w:r>
      <w:r w:rsidRPr="00556C68">
        <w:rPr>
          <w:rFonts w:ascii="Book Antiqua" w:hAnsi="Book Antiqua"/>
          <w:sz w:val="24"/>
          <w:szCs w:val="24"/>
        </w:rPr>
        <w:t xml:space="preserve"> % osób </w:t>
      </w:r>
      <w:r w:rsidR="00DB3677" w:rsidRPr="00556C68">
        <w:rPr>
          <w:rFonts w:ascii="Book Antiqua" w:hAnsi="Book Antiqua"/>
          <w:sz w:val="24"/>
          <w:szCs w:val="24"/>
        </w:rPr>
        <w:t xml:space="preserve">wskazało ogólnodostępną infrastrukturę rekreacyjną, </w:t>
      </w:r>
      <w:r w:rsidRPr="00556C68">
        <w:rPr>
          <w:rFonts w:ascii="Book Antiqua" w:hAnsi="Book Antiqua"/>
          <w:sz w:val="24"/>
          <w:szCs w:val="24"/>
        </w:rPr>
        <w:t xml:space="preserve"> </w:t>
      </w:r>
      <w:r w:rsidR="00D6762A">
        <w:rPr>
          <w:rFonts w:ascii="Book Antiqua" w:hAnsi="Book Antiqua"/>
          <w:sz w:val="24"/>
          <w:szCs w:val="24"/>
        </w:rPr>
        <w:t xml:space="preserve">15,4 </w:t>
      </w:r>
      <w:r w:rsidR="00D6762A" w:rsidRPr="00556C68">
        <w:rPr>
          <w:rFonts w:ascii="Book Antiqua" w:hAnsi="Book Antiqua"/>
          <w:sz w:val="24"/>
          <w:szCs w:val="24"/>
        </w:rPr>
        <w:t>% wskazało</w:t>
      </w:r>
      <w:r w:rsidR="00D6762A">
        <w:rPr>
          <w:rFonts w:ascii="Book Antiqua" w:hAnsi="Book Antiqua"/>
          <w:sz w:val="24"/>
          <w:szCs w:val="24"/>
        </w:rPr>
        <w:t xml:space="preserve"> podejmowanie działalności gospodarczej</w:t>
      </w:r>
      <w:r w:rsidR="00D6762A" w:rsidRPr="00556C68">
        <w:rPr>
          <w:rFonts w:ascii="Book Antiqua" w:hAnsi="Book Antiqua"/>
          <w:sz w:val="24"/>
          <w:szCs w:val="24"/>
        </w:rPr>
        <w:t>,</w:t>
      </w:r>
      <w:r w:rsidR="00D6762A">
        <w:rPr>
          <w:rFonts w:ascii="Book Antiqua" w:hAnsi="Book Antiqua"/>
          <w:sz w:val="24"/>
          <w:szCs w:val="24"/>
        </w:rPr>
        <w:t xml:space="preserve"> 7,7</w:t>
      </w:r>
      <w:r w:rsidR="00D6762A" w:rsidRPr="00556C68">
        <w:rPr>
          <w:rFonts w:ascii="Book Antiqua" w:hAnsi="Book Antiqua"/>
          <w:sz w:val="24"/>
          <w:szCs w:val="24"/>
        </w:rPr>
        <w:t xml:space="preserve"> % wskazało </w:t>
      </w:r>
      <w:r w:rsidR="00D6762A">
        <w:rPr>
          <w:rFonts w:ascii="Book Antiqua" w:hAnsi="Book Antiqua"/>
          <w:sz w:val="24"/>
          <w:szCs w:val="24"/>
        </w:rPr>
        <w:t>rozwijanie działalności gospodarczej różnych branż (z wyłączeniem turystycznej)</w:t>
      </w:r>
      <w:r w:rsidR="00D6762A" w:rsidRPr="00556C68">
        <w:rPr>
          <w:rFonts w:ascii="Book Antiqua" w:hAnsi="Book Antiqua"/>
          <w:sz w:val="24"/>
          <w:szCs w:val="24"/>
        </w:rPr>
        <w:t xml:space="preserve">, </w:t>
      </w:r>
      <w:r w:rsidR="00D6762A">
        <w:rPr>
          <w:rFonts w:ascii="Book Antiqua" w:hAnsi="Book Antiqua"/>
          <w:sz w:val="24"/>
          <w:szCs w:val="24"/>
        </w:rPr>
        <w:t>6,2</w:t>
      </w:r>
      <w:r w:rsidR="00DB3677" w:rsidRPr="00556C68">
        <w:rPr>
          <w:rFonts w:ascii="Book Antiqua" w:hAnsi="Book Antiqua"/>
          <w:sz w:val="24"/>
          <w:szCs w:val="24"/>
        </w:rPr>
        <w:t xml:space="preserve">% wskazało ogólnodostępną infrastrukturę turystyczną, </w:t>
      </w:r>
      <w:r w:rsidR="00D6762A">
        <w:rPr>
          <w:rFonts w:ascii="Book Antiqua" w:hAnsi="Book Antiqua"/>
          <w:sz w:val="24"/>
          <w:szCs w:val="24"/>
        </w:rPr>
        <w:t>3,1</w:t>
      </w:r>
      <w:r w:rsidR="00DB3677" w:rsidRPr="00556C68">
        <w:rPr>
          <w:rFonts w:ascii="Book Antiqua" w:hAnsi="Book Antiqua"/>
          <w:sz w:val="24"/>
          <w:szCs w:val="24"/>
        </w:rPr>
        <w:t>% wskazało</w:t>
      </w:r>
      <w:r w:rsidR="00D6762A">
        <w:rPr>
          <w:rFonts w:ascii="Book Antiqua" w:hAnsi="Book Antiqua"/>
          <w:sz w:val="24"/>
          <w:szCs w:val="24"/>
        </w:rPr>
        <w:t xml:space="preserve"> rozwijanie działalności gospodarczej branży turystycznej</w:t>
      </w:r>
      <w:r w:rsidR="00DB3677" w:rsidRPr="00556C68">
        <w:rPr>
          <w:rFonts w:ascii="Book Antiqua" w:hAnsi="Book Antiqua"/>
          <w:sz w:val="24"/>
          <w:szCs w:val="24"/>
        </w:rPr>
        <w:t xml:space="preserve">, </w:t>
      </w:r>
      <w:r w:rsidR="00D6762A">
        <w:rPr>
          <w:rFonts w:ascii="Book Antiqua" w:hAnsi="Book Antiqua"/>
          <w:sz w:val="24"/>
          <w:szCs w:val="24"/>
        </w:rPr>
        <w:t>pozostałe zakresy wskazało po 1,5% respondentów</w:t>
      </w:r>
      <w:r w:rsidR="00DB3677" w:rsidRPr="00556C68">
        <w:rPr>
          <w:rFonts w:ascii="Book Antiqua" w:hAnsi="Book Antiqua"/>
          <w:sz w:val="24"/>
          <w:szCs w:val="24"/>
        </w:rPr>
        <w:t>. Respondenci badania ankietowego w większości opowiedzieli się za przeznaczeniem oszczędności na rozwój ogólnodostępnej infrastruktury rekreacyjnej</w:t>
      </w:r>
      <w:r w:rsidR="00D6762A">
        <w:rPr>
          <w:rFonts w:ascii="Book Antiqua" w:hAnsi="Book Antiqua"/>
          <w:sz w:val="24"/>
          <w:szCs w:val="24"/>
        </w:rPr>
        <w:t xml:space="preserve"> (63,1%)</w:t>
      </w:r>
      <w:r w:rsidR="00DB3677" w:rsidRPr="00556C68">
        <w:rPr>
          <w:rFonts w:ascii="Book Antiqua" w:hAnsi="Book Antiqua"/>
          <w:sz w:val="24"/>
          <w:szCs w:val="24"/>
        </w:rPr>
        <w:t xml:space="preserve">. </w:t>
      </w:r>
      <w:r w:rsidR="00546935">
        <w:rPr>
          <w:rFonts w:ascii="Book Antiqua" w:hAnsi="Book Antiqua"/>
          <w:sz w:val="24"/>
          <w:szCs w:val="24"/>
        </w:rPr>
        <w:t xml:space="preserve">W odniesieniu do wsparcia podejmowania działalności gospodarczej, wskaźniki w tym przedsięwzięciu nie zostały jeszcze osiągnięte i budżet wciąż jest dostępny, dlatego nabór w ramach tego zakresu również się odbędzie. </w:t>
      </w:r>
      <w:r w:rsidR="00DB3677" w:rsidRPr="00556C68">
        <w:rPr>
          <w:rFonts w:ascii="Book Antiqua" w:hAnsi="Book Antiqua"/>
          <w:sz w:val="24"/>
          <w:szCs w:val="24"/>
        </w:rPr>
        <w:t>Wyniki badania stanowiły podstawę do przygotowania niżej zaprezentowanych zmian do LSR, pozwalających na ogłoszenie naborów wniosków na rozwój ogólnodostępnej infrastruktury rekreacyjnej.</w:t>
      </w:r>
      <w:r w:rsidR="0036285A" w:rsidRPr="00556C68">
        <w:rPr>
          <w:rFonts w:ascii="Book Antiqua" w:hAnsi="Book Antiqua"/>
          <w:sz w:val="24"/>
          <w:szCs w:val="24"/>
        </w:rPr>
        <w:t xml:space="preserve"> Dodatkowego wyjaśnienia wymagają </w:t>
      </w:r>
      <w:r w:rsidR="0036285A" w:rsidRPr="00D6762A">
        <w:rPr>
          <w:rFonts w:ascii="Book Antiqua" w:hAnsi="Book Antiqua"/>
          <w:sz w:val="24"/>
          <w:szCs w:val="24"/>
        </w:rPr>
        <w:t xml:space="preserve">projektowane </w:t>
      </w:r>
      <w:r w:rsidR="00E602DD" w:rsidRPr="00D6762A">
        <w:rPr>
          <w:rFonts w:ascii="Book Antiqua" w:hAnsi="Book Antiqua"/>
          <w:sz w:val="24"/>
          <w:szCs w:val="24"/>
        </w:rPr>
        <w:t xml:space="preserve">zmiany </w:t>
      </w:r>
      <w:r w:rsidR="0036285A" w:rsidRPr="00D6762A">
        <w:rPr>
          <w:rFonts w:ascii="Book Antiqua" w:hAnsi="Book Antiqua"/>
          <w:sz w:val="24"/>
          <w:szCs w:val="24"/>
        </w:rPr>
        <w:t>wartości docelowe</w:t>
      </w:r>
      <w:r w:rsidR="00E602DD" w:rsidRPr="00D6762A">
        <w:rPr>
          <w:rFonts w:ascii="Book Antiqua" w:hAnsi="Book Antiqua"/>
          <w:sz w:val="24"/>
          <w:szCs w:val="24"/>
        </w:rPr>
        <w:t xml:space="preserve">j </w:t>
      </w:r>
      <w:r w:rsidR="0036285A" w:rsidRPr="00D6762A">
        <w:rPr>
          <w:rFonts w:ascii="Book Antiqua" w:hAnsi="Book Antiqua"/>
          <w:sz w:val="24"/>
          <w:szCs w:val="24"/>
        </w:rPr>
        <w:t>wskaźników</w:t>
      </w:r>
      <w:r w:rsidR="0036285A" w:rsidRPr="00556C68">
        <w:rPr>
          <w:rFonts w:ascii="Book Antiqua" w:hAnsi="Book Antiqua"/>
          <w:sz w:val="24"/>
          <w:szCs w:val="24"/>
        </w:rPr>
        <w:t xml:space="preserve">. Oprócz </w:t>
      </w:r>
      <w:r w:rsidR="00225B94" w:rsidRPr="00556C68">
        <w:rPr>
          <w:rFonts w:ascii="Book Antiqua" w:hAnsi="Book Antiqua"/>
          <w:sz w:val="24"/>
          <w:szCs w:val="24"/>
        </w:rPr>
        <w:t>planowanego podniesienia ich wartości wynikające</w:t>
      </w:r>
      <w:r w:rsidR="00D6762A">
        <w:rPr>
          <w:rFonts w:ascii="Book Antiqua" w:hAnsi="Book Antiqua"/>
          <w:sz w:val="24"/>
          <w:szCs w:val="24"/>
        </w:rPr>
        <w:t>go z dystrybucji oszczędności (</w:t>
      </w:r>
      <w:r w:rsidR="00225B94" w:rsidRPr="00556C68">
        <w:rPr>
          <w:rFonts w:ascii="Book Antiqua" w:hAnsi="Book Antiqua"/>
          <w:sz w:val="24"/>
          <w:szCs w:val="24"/>
        </w:rPr>
        <w:t>przyjęto wskaźnik produktu na poziomie 3 szt., przyjmując średnio 1</w:t>
      </w:r>
      <w:r w:rsidR="00B23035">
        <w:rPr>
          <w:rFonts w:ascii="Book Antiqua" w:hAnsi="Book Antiqua"/>
          <w:sz w:val="24"/>
          <w:szCs w:val="24"/>
        </w:rPr>
        <w:t>1</w:t>
      </w:r>
      <w:r w:rsidR="00225B94" w:rsidRPr="00556C68">
        <w:rPr>
          <w:rFonts w:ascii="Book Antiqua" w:hAnsi="Book Antiqua"/>
          <w:sz w:val="24"/>
          <w:szCs w:val="24"/>
        </w:rPr>
        <w:t>0 tys. zł na 1 projekt), w projektowanej wartości docelowej wskaźników uwzględniono aktualnie osiągnięty stan docelowy wskaźników w oparciu o podpisane umowy oraz złożone ankiety monitorujące. Ta sama zasada została zastosowana w zakresie projektowych zmian we wskaźniku rezultatu.</w:t>
      </w:r>
    </w:p>
    <w:p w:rsidR="009C5943" w:rsidRDefault="009C5943" w:rsidP="00D601C1">
      <w:pPr>
        <w:spacing w:after="0"/>
        <w:jc w:val="center"/>
        <w:rPr>
          <w:rFonts w:ascii="Book Antiqua" w:hAnsi="Book Antiqua"/>
          <w:b/>
        </w:rPr>
      </w:pPr>
    </w:p>
    <w:p w:rsidR="00225B94" w:rsidRDefault="00225B94" w:rsidP="00D601C1">
      <w:pPr>
        <w:spacing w:after="0"/>
        <w:jc w:val="center"/>
        <w:rPr>
          <w:rFonts w:ascii="Book Antiqua" w:hAnsi="Book Antiqua"/>
          <w:b/>
        </w:rPr>
      </w:pPr>
    </w:p>
    <w:p w:rsidR="009D2450" w:rsidRDefault="00CB5BB9" w:rsidP="009D24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9D2450" w:rsidRPr="00D601C1">
        <w:rPr>
          <w:rFonts w:ascii="Times New Roman" w:hAnsi="Times New Roman" w:cs="Times New Roman"/>
          <w:b/>
          <w:sz w:val="20"/>
          <w:szCs w:val="20"/>
        </w:rPr>
        <w:t>. Informacja o zgłaszającym</w:t>
      </w:r>
      <w:r w:rsidR="0036285A">
        <w:rPr>
          <w:rFonts w:ascii="Times New Roman" w:hAnsi="Times New Roman" w:cs="Times New Roman"/>
          <w:b/>
          <w:sz w:val="20"/>
          <w:szCs w:val="20"/>
        </w:rPr>
        <w:t xml:space="preserve"> inne propozycje zmiany LSR</w:t>
      </w:r>
    </w:p>
    <w:p w:rsidR="005B4C70" w:rsidRDefault="005B4C70" w:rsidP="009D24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8789"/>
      </w:tblGrid>
      <w:tr w:rsidR="00546935" w:rsidTr="00546935">
        <w:tc>
          <w:tcPr>
            <w:tcW w:w="5637" w:type="dxa"/>
            <w:shd w:val="clear" w:color="auto" w:fill="D9D9D9" w:themeFill="background1" w:themeFillShade="D9"/>
          </w:tcPr>
          <w:p w:rsidR="00546935" w:rsidRDefault="00546935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935" w:rsidRDefault="00546935" w:rsidP="005B4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Instytucja/organizacja (jeśli dotyczy)</w:t>
            </w:r>
          </w:p>
        </w:tc>
      </w:tr>
      <w:tr w:rsidR="00546935" w:rsidTr="00546935">
        <w:trPr>
          <w:trHeight w:val="464"/>
        </w:trPr>
        <w:tc>
          <w:tcPr>
            <w:tcW w:w="5637" w:type="dxa"/>
          </w:tcPr>
          <w:p w:rsidR="00546935" w:rsidRDefault="00546935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546935" w:rsidRDefault="00546935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935" w:rsidTr="00036A99">
        <w:tc>
          <w:tcPr>
            <w:tcW w:w="1442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46935" w:rsidRDefault="00546935" w:rsidP="005469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kontaktowe: adres e-mail lub telefon kontaktowy lub adres do korespondencji</w:t>
            </w:r>
          </w:p>
        </w:tc>
      </w:tr>
      <w:tr w:rsidR="00546935" w:rsidTr="009114E2">
        <w:trPr>
          <w:trHeight w:val="459"/>
        </w:trPr>
        <w:tc>
          <w:tcPr>
            <w:tcW w:w="14426" w:type="dxa"/>
            <w:gridSpan w:val="2"/>
            <w:tcBorders>
              <w:right w:val="single" w:sz="4" w:space="0" w:color="auto"/>
            </w:tcBorders>
          </w:tcPr>
          <w:p w:rsidR="00546935" w:rsidRDefault="00546935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B4C70" w:rsidRDefault="005B4C70" w:rsidP="009D24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637C" w:rsidRPr="00D601C1" w:rsidRDefault="005B4C70" w:rsidP="005B4C70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9D2450" w:rsidRPr="00D601C1">
        <w:rPr>
          <w:rFonts w:ascii="Times New Roman" w:hAnsi="Times New Roman" w:cs="Times New Roman"/>
          <w:sz w:val="20"/>
          <w:szCs w:val="20"/>
        </w:rPr>
        <w:t>yp</w:t>
      </w:r>
      <w:r w:rsidR="00E26AD4">
        <w:rPr>
          <w:rFonts w:ascii="Times New Roman" w:hAnsi="Times New Roman" w:cs="Times New Roman"/>
          <w:sz w:val="20"/>
          <w:szCs w:val="20"/>
        </w:rPr>
        <w:t>ełniony formularz prosimy przes</w:t>
      </w:r>
      <w:r w:rsidR="009D2450" w:rsidRPr="00D601C1">
        <w:rPr>
          <w:rFonts w:ascii="Times New Roman" w:hAnsi="Times New Roman" w:cs="Times New Roman"/>
          <w:sz w:val="20"/>
          <w:szCs w:val="20"/>
        </w:rPr>
        <w:t>łać</w:t>
      </w:r>
      <w:r w:rsidR="0051637C" w:rsidRPr="00D601C1">
        <w:rPr>
          <w:rFonts w:ascii="Times New Roman" w:hAnsi="Times New Roman" w:cs="Times New Roman"/>
          <w:sz w:val="20"/>
          <w:szCs w:val="20"/>
        </w:rPr>
        <w:t xml:space="preserve"> pocztą elektroniczną na adres</w:t>
      </w:r>
      <w:r w:rsidR="0051637C" w:rsidRPr="005B4C70">
        <w:rPr>
          <w:rFonts w:ascii="Times New Roman" w:hAnsi="Times New Roman" w:cs="Times New Roman"/>
          <w:sz w:val="20"/>
          <w:szCs w:val="20"/>
        </w:rPr>
        <w:t>:</w:t>
      </w:r>
      <w:r w:rsidR="00D601C1" w:rsidRPr="005B4C7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5B4C70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poleskadolinabugu@poczta.fm</w:t>
        </w:r>
      </w:hyperlink>
      <w:r w:rsidRPr="005B4C70">
        <w:rPr>
          <w:rFonts w:ascii="Times New Roman" w:hAnsi="Times New Roman" w:cs="Times New Roman"/>
          <w:sz w:val="20"/>
          <w:szCs w:val="20"/>
        </w:rPr>
        <w:t xml:space="preserve"> </w:t>
      </w:r>
      <w:r w:rsidR="00D601C1" w:rsidRPr="005B4C70">
        <w:rPr>
          <w:rFonts w:ascii="Times New Roman" w:hAnsi="Times New Roman" w:cs="Times New Roman"/>
          <w:sz w:val="20"/>
          <w:szCs w:val="20"/>
        </w:rPr>
        <w:t xml:space="preserve"> </w:t>
      </w:r>
      <w:r w:rsidR="00E26AD4">
        <w:rPr>
          <w:rFonts w:ascii="Times New Roman" w:hAnsi="Times New Roman" w:cs="Times New Roman"/>
          <w:sz w:val="20"/>
          <w:szCs w:val="20"/>
        </w:rPr>
        <w:t>lub</w:t>
      </w:r>
      <w:r w:rsidR="00D601C1">
        <w:rPr>
          <w:rFonts w:ascii="Times New Roman" w:hAnsi="Times New Roman" w:cs="Times New Roman"/>
          <w:sz w:val="20"/>
          <w:szCs w:val="20"/>
        </w:rPr>
        <w:t xml:space="preserve"> </w:t>
      </w:r>
      <w:r w:rsidR="00E26AD4">
        <w:rPr>
          <w:rFonts w:ascii="Times New Roman" w:hAnsi="Times New Roman" w:cs="Times New Roman"/>
          <w:sz w:val="20"/>
          <w:szCs w:val="20"/>
        </w:rPr>
        <w:t>przekazać osobiście do B</w:t>
      </w:r>
      <w:r w:rsidR="00D601C1">
        <w:rPr>
          <w:rFonts w:ascii="Times New Roman" w:hAnsi="Times New Roman" w:cs="Times New Roman"/>
          <w:sz w:val="20"/>
          <w:szCs w:val="20"/>
        </w:rPr>
        <w:t>iura LGD „</w:t>
      </w:r>
      <w:r>
        <w:rPr>
          <w:rFonts w:ascii="Times New Roman" w:hAnsi="Times New Roman" w:cs="Times New Roman"/>
          <w:sz w:val="20"/>
          <w:szCs w:val="20"/>
        </w:rPr>
        <w:t>Poleska Dolina Bugu</w:t>
      </w:r>
      <w:r w:rsidR="00D601C1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, Okuninka XIII-1, 22-200 Włodawa</w:t>
      </w:r>
      <w:r w:rsidR="00117675">
        <w:rPr>
          <w:rFonts w:ascii="Times New Roman" w:hAnsi="Times New Roman" w:cs="Times New Roman"/>
          <w:sz w:val="20"/>
          <w:szCs w:val="20"/>
        </w:rPr>
        <w:t xml:space="preserve"> </w:t>
      </w:r>
      <w:r w:rsidR="00117675" w:rsidRPr="0011767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do dnia </w:t>
      </w:r>
      <w:r w:rsidR="00F674D0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A108BC"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="00F674D0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B23035">
        <w:rPr>
          <w:rFonts w:ascii="Times New Roman" w:hAnsi="Times New Roman" w:cs="Times New Roman"/>
          <w:b/>
          <w:color w:val="FF0000"/>
          <w:sz w:val="20"/>
          <w:szCs w:val="20"/>
        </w:rPr>
        <w:t>05.2018</w:t>
      </w:r>
      <w:r w:rsidR="00117675" w:rsidRPr="00117675">
        <w:rPr>
          <w:rFonts w:ascii="Times New Roman" w:hAnsi="Times New Roman" w:cs="Times New Roman"/>
          <w:b/>
          <w:color w:val="FF0000"/>
          <w:sz w:val="20"/>
          <w:szCs w:val="20"/>
        </w:rPr>
        <w:t>r.</w:t>
      </w:r>
      <w:r w:rsidR="00F674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godz. 12:00</w:t>
      </w:r>
      <w:bookmarkStart w:id="0" w:name="_GoBack"/>
      <w:bookmarkEnd w:id="0"/>
    </w:p>
    <w:p w:rsidR="00011542" w:rsidRPr="00D601C1" w:rsidRDefault="00011542" w:rsidP="009D2450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D2450" w:rsidRPr="00D601C1" w:rsidRDefault="00CB5BB9" w:rsidP="005063E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D2450" w:rsidRPr="00D601C1">
        <w:rPr>
          <w:rFonts w:ascii="Times New Roman" w:hAnsi="Times New Roman" w:cs="Times New Roman"/>
          <w:b/>
          <w:sz w:val="20"/>
          <w:szCs w:val="20"/>
        </w:rPr>
        <w:t>. Zgłasza</w:t>
      </w:r>
      <w:r w:rsidR="00687612">
        <w:rPr>
          <w:rFonts w:ascii="Times New Roman" w:hAnsi="Times New Roman" w:cs="Times New Roman"/>
          <w:b/>
          <w:sz w:val="20"/>
          <w:szCs w:val="20"/>
        </w:rPr>
        <w:t xml:space="preserve">ne </w:t>
      </w:r>
      <w:r w:rsidR="0036285A">
        <w:rPr>
          <w:rFonts w:ascii="Times New Roman" w:hAnsi="Times New Roman" w:cs="Times New Roman"/>
          <w:b/>
          <w:sz w:val="20"/>
          <w:szCs w:val="20"/>
        </w:rPr>
        <w:t xml:space="preserve">inne </w:t>
      </w:r>
      <w:r w:rsidR="00687612">
        <w:rPr>
          <w:rFonts w:ascii="Times New Roman" w:hAnsi="Times New Roman" w:cs="Times New Roman"/>
          <w:b/>
          <w:sz w:val="20"/>
          <w:szCs w:val="20"/>
        </w:rPr>
        <w:t>propozycje zmiany</w:t>
      </w:r>
      <w:r w:rsidR="0036285A">
        <w:rPr>
          <w:rFonts w:ascii="Times New Roman" w:hAnsi="Times New Roman" w:cs="Times New Roman"/>
          <w:b/>
          <w:sz w:val="20"/>
          <w:szCs w:val="20"/>
        </w:rPr>
        <w:t xml:space="preserve"> LSR w zakresie wydatkowania oszczędności na wdrażanie LSR (poddziałanie 19.2)</w:t>
      </w:r>
    </w:p>
    <w:tbl>
      <w:tblPr>
        <w:tblStyle w:val="Tabela-Siatka"/>
        <w:tblW w:w="14425" w:type="dxa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536"/>
        <w:gridCol w:w="5245"/>
      </w:tblGrid>
      <w:tr w:rsidR="00D601C1" w:rsidRPr="00D601C1" w:rsidTr="00947EA9">
        <w:trPr>
          <w:trHeight w:val="85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601C1" w:rsidRPr="00D601C1" w:rsidRDefault="00D601C1" w:rsidP="005B4C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D601C1" w:rsidRPr="00D601C1" w:rsidRDefault="008B1B65" w:rsidP="00606CD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Stan bieżący</w:t>
            </w:r>
            <w:r w:rsidR="00D601C1" w:rsidRPr="00D601C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601C1" w:rsidRPr="00D601C1" w:rsidRDefault="008B1B65" w:rsidP="008B1B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Zmiany proponowane przez LGD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46480B" w:rsidRDefault="0046480B" w:rsidP="008B1B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D601C1" w:rsidRDefault="008B1B65" w:rsidP="008B1B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Inna p</w:t>
            </w:r>
            <w:r w:rsidR="00D601C1" w:rsidRPr="00D601C1">
              <w:rPr>
                <w:rFonts w:ascii="Times New Roman" w:hAnsi="Times New Roman" w:cs="Times New Roman"/>
                <w:b/>
                <w:szCs w:val="20"/>
              </w:rPr>
              <w:t>ropozycja zmiany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wraz z uzasadnieniem</w:t>
            </w:r>
          </w:p>
          <w:p w:rsidR="0046480B" w:rsidRDefault="0046480B" w:rsidP="008B1B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6480B" w:rsidRPr="00546935" w:rsidRDefault="008B1B65" w:rsidP="008B1B6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546935">
              <w:rPr>
                <w:rFonts w:ascii="Times New Roman" w:hAnsi="Times New Roman" w:cs="Times New Roman"/>
                <w:b/>
                <w:i/>
                <w:color w:val="FF0000"/>
              </w:rPr>
              <w:t>Uwaga:</w:t>
            </w:r>
            <w:r w:rsidRPr="0054693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6480B" w:rsidRPr="00546935">
              <w:rPr>
                <w:rFonts w:ascii="Times New Roman" w:hAnsi="Times New Roman" w:cs="Times New Roman"/>
                <w:b/>
                <w:i/>
                <w:color w:val="FF0000"/>
              </w:rPr>
              <w:t xml:space="preserve">zgłaszana zmiana musi dotyczyć zagospodarowania zwolnionej kwoty środków </w:t>
            </w:r>
            <w:r w:rsidR="00546935" w:rsidRPr="00546935">
              <w:rPr>
                <w:rFonts w:ascii="Times New Roman" w:hAnsi="Times New Roman" w:cs="Times New Roman"/>
                <w:b/>
                <w:i/>
                <w:color w:val="FF0000"/>
              </w:rPr>
              <w:t>333 288,49</w:t>
            </w:r>
            <w:r w:rsidR="008E27C7" w:rsidRPr="00546935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zł</w:t>
            </w:r>
            <w:r w:rsidR="0046480B" w:rsidRPr="00546935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na wdrażanie LSR </w:t>
            </w:r>
          </w:p>
          <w:p w:rsidR="008B1B65" w:rsidRPr="00D601C1" w:rsidRDefault="0046480B" w:rsidP="008B1B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46935">
              <w:rPr>
                <w:rFonts w:ascii="Times New Roman" w:hAnsi="Times New Roman" w:cs="Times New Roman"/>
                <w:b/>
                <w:i/>
                <w:color w:val="FF0000"/>
              </w:rPr>
              <w:t>(Poddziałanie 19.2)</w:t>
            </w:r>
          </w:p>
        </w:tc>
      </w:tr>
      <w:tr w:rsidR="00D601C1" w:rsidRPr="00D601C1" w:rsidTr="00947EA9">
        <w:trPr>
          <w:trHeight w:val="567"/>
        </w:trPr>
        <w:tc>
          <w:tcPr>
            <w:tcW w:w="534" w:type="dxa"/>
            <w:vAlign w:val="center"/>
          </w:tcPr>
          <w:p w:rsidR="00D601C1" w:rsidRPr="00B010DB" w:rsidRDefault="0046480B" w:rsidP="0046480B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0D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110" w:type="dxa"/>
            <w:vAlign w:val="center"/>
          </w:tcPr>
          <w:p w:rsidR="00D601C1" w:rsidRPr="0046480B" w:rsidRDefault="0046480B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Wskaźnik rezultatu dla celu szczegółowego</w:t>
            </w:r>
            <w:r w:rsidR="008E27C7"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46480B">
              <w:rPr>
                <w:rFonts w:ascii="Times New Roman" w:hAnsi="Times New Roman" w:cs="Times New Roman"/>
                <w:i/>
                <w:sz w:val="20"/>
                <w:szCs w:val="20"/>
              </w:rPr>
              <w:t>Poprawa warunków życia mieszkańców oraz wspieranie włączenia społecznego i aktywizacja mieszkańców na obszarze LSR”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46480B">
              <w:rPr>
                <w:rFonts w:ascii="Times New Roman" w:hAnsi="Times New Roman" w:cs="Times New Roman"/>
                <w:sz w:val="20"/>
                <w:szCs w:val="20"/>
              </w:rPr>
              <w:t xml:space="preserve">liczba osób korzystających z obiektów infrastruktury rekreacyjnej – </w:t>
            </w:r>
            <w:r w:rsidRPr="008E27C7">
              <w:rPr>
                <w:rFonts w:ascii="Times New Roman" w:hAnsi="Times New Roman" w:cs="Times New Roman"/>
                <w:b/>
                <w:sz w:val="20"/>
                <w:szCs w:val="20"/>
              </w:rPr>
              <w:t>800 osób</w:t>
            </w:r>
          </w:p>
          <w:p w:rsidR="00D601C1" w:rsidRPr="00D601C1" w:rsidRDefault="00D601C1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6480B" w:rsidRPr="00546935" w:rsidRDefault="0046480B" w:rsidP="0046480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Wskaźnik rezultatu dla celu szczegółowego</w:t>
            </w:r>
            <w:r w:rsidR="00B010DB"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46480B">
              <w:rPr>
                <w:rFonts w:ascii="Times New Roman" w:hAnsi="Times New Roman" w:cs="Times New Roman"/>
                <w:i/>
                <w:sz w:val="20"/>
                <w:szCs w:val="20"/>
              </w:rPr>
              <w:t>Poprawa warunków życia mieszkańców oraz wspieranie włączenia społecznego i aktywizacja mieszkańców na obszarze LSR”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46480B">
              <w:rPr>
                <w:rFonts w:ascii="Times New Roman" w:hAnsi="Times New Roman" w:cs="Times New Roman"/>
                <w:sz w:val="20"/>
                <w:szCs w:val="20"/>
              </w:rPr>
              <w:t xml:space="preserve">liczba osób korzystających z obiektów infrastruktury rekreacyjnej – </w:t>
            </w:r>
            <w:r w:rsidR="008015D3" w:rsidRPr="0054693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14 200</w:t>
            </w:r>
            <w:r w:rsidRPr="0054693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osób</w:t>
            </w:r>
          </w:p>
          <w:p w:rsidR="00D601C1" w:rsidRPr="00D601C1" w:rsidRDefault="00D601C1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D601C1" w:rsidRPr="00D601C1" w:rsidRDefault="00D601C1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947EA9">
        <w:trPr>
          <w:trHeight w:val="567"/>
        </w:trPr>
        <w:tc>
          <w:tcPr>
            <w:tcW w:w="534" w:type="dxa"/>
            <w:vAlign w:val="center"/>
          </w:tcPr>
          <w:p w:rsidR="00D601C1" w:rsidRPr="00D601C1" w:rsidRDefault="00D601C1" w:rsidP="005B4C70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:rsidR="008E27C7" w:rsidRDefault="008E27C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46480B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Przedsięwzięcie 1.3.1 </w:t>
            </w:r>
            <w:r w:rsidRPr="002615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Rozwój ogólnodostępnej </w:t>
            </w:r>
            <w:r w:rsidRPr="002615A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infrastruktury rekreacyjnej służącej inicjatywom lokalnym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wskaźnik produktu: </w:t>
            </w:r>
            <w:r w:rsidRPr="002615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nowych lub przebudowanych obiektów infrastruktury rekreacyjnej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27C7">
              <w:rPr>
                <w:rFonts w:ascii="Times New Roman" w:hAnsi="Times New Roman" w:cs="Times New Roman"/>
                <w:b/>
                <w:sz w:val="20"/>
                <w:szCs w:val="20"/>
              </w:rPr>
              <w:t>16 szt.</w:t>
            </w:r>
          </w:p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615A5" w:rsidRPr="002615A5" w:rsidRDefault="002615A5" w:rsidP="002615A5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Przedsięwzięcie 1.3.1 </w:t>
            </w:r>
            <w:r w:rsidRPr="002615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Rozwój ogólnodostępnej infrastruktury rekreacyjnej służącej inicjatywom </w:t>
            </w:r>
            <w:r w:rsidRPr="002615A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lokalnym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wskaźnik produktu: </w:t>
            </w:r>
            <w:r w:rsidRPr="002615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nowych lub przebudowanych obiektów infrastruktury rekreacyjnej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C4C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  <w:r w:rsidRPr="008E27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szt.</w:t>
            </w:r>
          </w:p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947EA9">
        <w:trPr>
          <w:trHeight w:val="567"/>
        </w:trPr>
        <w:tc>
          <w:tcPr>
            <w:tcW w:w="534" w:type="dxa"/>
            <w:vAlign w:val="center"/>
          </w:tcPr>
          <w:p w:rsidR="00D601C1" w:rsidRPr="00D601C1" w:rsidRDefault="00D601C1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0" w:type="dxa"/>
            <w:vAlign w:val="center"/>
          </w:tcPr>
          <w:p w:rsidR="008E27C7" w:rsidRDefault="008E27C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8E27C7" w:rsidRDefault="008E27C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Przedsięwzięcie 1.3.1 </w:t>
            </w:r>
            <w:r w:rsidRPr="002615A5">
              <w:rPr>
                <w:rFonts w:ascii="Times New Roman" w:hAnsi="Times New Roman" w:cs="Times New Roman"/>
                <w:i/>
                <w:sz w:val="20"/>
                <w:szCs w:val="20"/>
              </w:rPr>
              <w:t>Rozwój ogólnodostępnej infrastruktury rekreacyjnej służącej inicjatywom lokalnym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8E27C7">
              <w:rPr>
                <w:rFonts w:ascii="Times New Roman" w:hAnsi="Times New Roman" w:cs="Times New Roman"/>
                <w:sz w:val="20"/>
                <w:szCs w:val="20"/>
              </w:rPr>
              <w:t>planowane wsparcie w PLN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latach 2016-2018</w:t>
            </w:r>
            <w:r w:rsidRPr="008E27C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E27C7">
              <w:rPr>
                <w:rFonts w:ascii="Times New Roman" w:hAnsi="Times New Roman" w:cs="Times New Roman"/>
                <w:b/>
                <w:sz w:val="20"/>
                <w:szCs w:val="20"/>
              </w:rPr>
              <w:t>1 750 000 zł</w:t>
            </w:r>
          </w:p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E27C7" w:rsidRPr="008E27C7" w:rsidRDefault="008E27C7" w:rsidP="008E27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Przedsięwzięcie 1.3.1 </w:t>
            </w:r>
            <w:r w:rsidRPr="002615A5">
              <w:rPr>
                <w:rFonts w:ascii="Times New Roman" w:hAnsi="Times New Roman" w:cs="Times New Roman"/>
                <w:i/>
                <w:sz w:val="20"/>
                <w:szCs w:val="20"/>
              </w:rPr>
              <w:t>Rozwój ogólnodostępnej infrastruktury rekreacyjnej służącej inicjatywom lokalnym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8E27C7">
              <w:rPr>
                <w:rFonts w:ascii="Times New Roman" w:hAnsi="Times New Roman" w:cs="Times New Roman"/>
                <w:sz w:val="20"/>
                <w:szCs w:val="20"/>
              </w:rPr>
              <w:t>planowane wsparcie w PLN</w:t>
            </w:r>
            <w:r w:rsidR="00947EA9">
              <w:rPr>
                <w:rFonts w:ascii="Times New Roman" w:hAnsi="Times New Roman" w:cs="Times New Roman"/>
                <w:sz w:val="20"/>
                <w:szCs w:val="20"/>
              </w:rPr>
              <w:t xml:space="preserve"> w latach 2016-2018</w:t>
            </w:r>
            <w:r w:rsidRPr="008E27C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E27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1 772 988 zł</w:t>
            </w:r>
          </w:p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947EA9">
        <w:trPr>
          <w:trHeight w:val="567"/>
        </w:trPr>
        <w:tc>
          <w:tcPr>
            <w:tcW w:w="534" w:type="dxa"/>
            <w:vAlign w:val="center"/>
          </w:tcPr>
          <w:p w:rsidR="00D601C1" w:rsidRPr="00D601C1" w:rsidRDefault="00D601C1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110" w:type="dxa"/>
            <w:vAlign w:val="center"/>
          </w:tcPr>
          <w:p w:rsidR="00947EA9" w:rsidRDefault="00947EA9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8E27C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Przedsięwzięcie 1.3.3 Wsparcie działalności artystycznej lokalnych zespołów z obszaru LGD – planowana kwota wsparcia w PLN w latach 2016-2018 – </w:t>
            </w:r>
            <w:r w:rsidRPr="008E27C7">
              <w:rPr>
                <w:rFonts w:ascii="Times New Roman" w:hAnsi="Times New Roman" w:cs="Times New Roman"/>
                <w:b/>
                <w:sz w:val="20"/>
                <w:szCs w:val="20"/>
              </w:rPr>
              <w:t>200 000 zł</w:t>
            </w:r>
          </w:p>
        </w:tc>
        <w:tc>
          <w:tcPr>
            <w:tcW w:w="4536" w:type="dxa"/>
            <w:vAlign w:val="center"/>
          </w:tcPr>
          <w:p w:rsidR="00D601C1" w:rsidRPr="00D601C1" w:rsidRDefault="008E27C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Przedsięwzięcie 1.3.3 Wsparcie działalności artystycznej lokalnych zespołów z obszaru LGD – planowana kwota wsparcia w PLN w latach 2016-2018 – </w:t>
            </w:r>
            <w:r w:rsidRPr="008E27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177 012 zł</w:t>
            </w:r>
          </w:p>
        </w:tc>
        <w:tc>
          <w:tcPr>
            <w:tcW w:w="5245" w:type="dxa"/>
            <w:vAlign w:val="center"/>
          </w:tcPr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3FF" w:rsidRDefault="005743FF">
      <w:pPr>
        <w:rPr>
          <w:rFonts w:ascii="Times New Roman" w:hAnsi="Times New Roman" w:cs="Times New Roman"/>
          <w:sz w:val="20"/>
          <w:szCs w:val="20"/>
        </w:rPr>
      </w:pPr>
    </w:p>
    <w:p w:rsidR="009C5943" w:rsidRDefault="009C5943">
      <w:pPr>
        <w:rPr>
          <w:rFonts w:ascii="Times New Roman" w:hAnsi="Times New Roman" w:cs="Times New Roman"/>
          <w:sz w:val="20"/>
          <w:szCs w:val="20"/>
        </w:rPr>
      </w:pPr>
    </w:p>
    <w:p w:rsidR="0036285A" w:rsidRDefault="0036285A">
      <w:pPr>
        <w:rPr>
          <w:rFonts w:ascii="Times New Roman" w:hAnsi="Times New Roman" w:cs="Times New Roman"/>
          <w:sz w:val="20"/>
          <w:szCs w:val="20"/>
        </w:rPr>
      </w:pPr>
    </w:p>
    <w:p w:rsidR="0036285A" w:rsidRDefault="0036285A">
      <w:pPr>
        <w:rPr>
          <w:rFonts w:ascii="Times New Roman" w:hAnsi="Times New Roman" w:cs="Times New Roman"/>
          <w:sz w:val="20"/>
          <w:szCs w:val="20"/>
        </w:rPr>
      </w:pPr>
    </w:p>
    <w:p w:rsidR="00546935" w:rsidRDefault="00546935">
      <w:pPr>
        <w:rPr>
          <w:rFonts w:ascii="Times New Roman" w:hAnsi="Times New Roman" w:cs="Times New Roman"/>
          <w:sz w:val="20"/>
          <w:szCs w:val="20"/>
        </w:rPr>
        <w:sectPr w:rsidR="00546935" w:rsidSect="00546935">
          <w:headerReference w:type="default" r:id="rId9"/>
          <w:pgSz w:w="16838" w:h="11906" w:orient="landscape"/>
          <w:pgMar w:top="1071" w:right="1135" w:bottom="993" w:left="1417" w:header="142" w:footer="708" w:gutter="0"/>
          <w:cols w:space="708"/>
          <w:docGrid w:linePitch="360"/>
        </w:sectPr>
      </w:pPr>
    </w:p>
    <w:p w:rsidR="0036285A" w:rsidRDefault="003628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  <w:t>(miejscowość, data)</w:t>
      </w:r>
    </w:p>
    <w:p w:rsidR="0036285A" w:rsidRDefault="0036285A">
      <w:pPr>
        <w:rPr>
          <w:rFonts w:ascii="Times New Roman" w:hAnsi="Times New Roman" w:cs="Times New Roman"/>
          <w:sz w:val="20"/>
          <w:szCs w:val="20"/>
        </w:rPr>
      </w:pPr>
    </w:p>
    <w:p w:rsidR="00546935" w:rsidRDefault="00546935">
      <w:pPr>
        <w:rPr>
          <w:rFonts w:ascii="Times New Roman" w:hAnsi="Times New Roman" w:cs="Times New Roman"/>
          <w:sz w:val="20"/>
          <w:szCs w:val="20"/>
        </w:rPr>
      </w:pPr>
    </w:p>
    <w:p w:rsidR="0036285A" w:rsidRDefault="0036285A">
      <w:pPr>
        <w:rPr>
          <w:rFonts w:ascii="Times New Roman" w:hAnsi="Times New Roman" w:cs="Times New Roman"/>
          <w:sz w:val="20"/>
          <w:szCs w:val="20"/>
        </w:rPr>
      </w:pPr>
    </w:p>
    <w:p w:rsidR="0036285A" w:rsidRPr="00D601C1" w:rsidRDefault="003628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</w:t>
      </w:r>
      <w:r w:rsidR="00546935">
        <w:rPr>
          <w:rFonts w:ascii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br/>
        <w:t xml:space="preserve">(czytelny podpis – dotyczy formularzy składanych w postaci papierowej)                                                                     </w:t>
      </w:r>
    </w:p>
    <w:sectPr w:rsidR="0036285A" w:rsidRPr="00D601C1" w:rsidSect="0036285A">
      <w:type w:val="continuous"/>
      <w:pgSz w:w="16838" w:h="11906" w:orient="landscape"/>
      <w:pgMar w:top="1071" w:right="1135" w:bottom="1417" w:left="1417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BB" w:rsidRDefault="00DB08BB" w:rsidP="00FF4130">
      <w:pPr>
        <w:spacing w:after="0" w:line="240" w:lineRule="auto"/>
      </w:pPr>
      <w:r>
        <w:separator/>
      </w:r>
    </w:p>
  </w:endnote>
  <w:endnote w:type="continuationSeparator" w:id="0">
    <w:p w:rsidR="00DB08BB" w:rsidRDefault="00DB08BB" w:rsidP="00F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BB" w:rsidRDefault="00DB08BB" w:rsidP="00FF4130">
      <w:pPr>
        <w:spacing w:after="0" w:line="240" w:lineRule="auto"/>
      </w:pPr>
      <w:r>
        <w:separator/>
      </w:r>
    </w:p>
  </w:footnote>
  <w:footnote w:type="continuationSeparator" w:id="0">
    <w:p w:rsidR="00DB08BB" w:rsidRDefault="00DB08BB" w:rsidP="00FF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30" w:rsidRDefault="00FF4130">
    <w:pPr>
      <w:pStyle w:val="Nagwek"/>
    </w:pPr>
  </w:p>
  <w:tbl>
    <w:tblPr>
      <w:tblStyle w:val="Tabela-Siatka"/>
      <w:tblW w:w="14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6"/>
      <w:gridCol w:w="3856"/>
      <w:gridCol w:w="3856"/>
      <w:gridCol w:w="2964"/>
    </w:tblGrid>
    <w:tr w:rsidR="00FF4130" w:rsidTr="00FF4130">
      <w:trPr>
        <w:trHeight w:val="1063"/>
      </w:trPr>
      <w:tc>
        <w:tcPr>
          <w:tcW w:w="398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225B94" w:rsidP="002A516E">
          <w:pPr>
            <w:jc w:val="center"/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2C792FFA" wp14:editId="40324DC8">
                <wp:extent cx="828675" cy="553794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lo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856" cy="557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64DEC1D4" wp14:editId="50BEC97E">
                <wp:extent cx="552450" cy="55553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LEADER kolor.jp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706" cy="55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4244BAB1" wp14:editId="61BB02EC">
                <wp:extent cx="542925" cy="558437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DB w kole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721" cy="565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5E6C03C8" wp14:editId="70D9E6A5">
                <wp:extent cx="857250" cy="56101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648" cy="561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F4130" w:rsidTr="00FF4130">
      <w:trPr>
        <w:trHeight w:val="905"/>
      </w:trPr>
      <w:tc>
        <w:tcPr>
          <w:tcW w:w="14661" w:type="dxa"/>
          <w:gridSpan w:val="4"/>
          <w:tcBorders>
            <w:top w:val="dotted" w:sz="4" w:space="0" w:color="A5947E" w:themeColor="text2" w:themeTint="99"/>
            <w:bottom w:val="single" w:sz="12" w:space="0" w:color="A5947E" w:themeColor="text2" w:themeTint="99"/>
          </w:tcBorders>
        </w:tcPr>
        <w:p w:rsidR="00FF4130" w:rsidRPr="0031789E" w:rsidRDefault="008B1B65" w:rsidP="002A516E">
          <w:pPr>
            <w:ind w:left="-142" w:right="-108"/>
            <w:jc w:val="center"/>
            <w:rPr>
              <w:rFonts w:cs="Times New Roman"/>
              <w:sz w:val="18"/>
              <w:szCs w:val="18"/>
            </w:rPr>
          </w:pPr>
          <w:r w:rsidRPr="0043658B">
            <w:rPr>
              <w:rFonts w:ascii="Times New Roman" w:hAnsi="Times New Roman" w:cs="Times New Roman"/>
              <w:b/>
              <w:sz w:val="18"/>
              <w:szCs w:val="18"/>
            </w:rPr>
            <w:t>„Europejski Fundusz Rolny na rzecz Rozwoju Obszarów Wiejskich: Europa inwestująca w obszary wiejskie”.</w:t>
          </w:r>
          <w:r w:rsidRPr="0043658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43658B">
            <w:rPr>
              <w:rFonts w:ascii="Times New Roman" w:hAnsi="Times New Roman" w:cs="Times New Roman"/>
              <w:sz w:val="18"/>
              <w:szCs w:val="18"/>
            </w:rPr>
            <w:br/>
            <w:t xml:space="preserve">Projekt współfinansowany ze środków Unii Europejskiej w ramach Działania 19. „Wsparcie dla rozwoju lokalnego w ramach inicjatywy LEADER” </w:t>
          </w:r>
          <w:r>
            <w:rPr>
              <w:rFonts w:ascii="Times New Roman" w:hAnsi="Times New Roman" w:cs="Times New Roman"/>
              <w:sz w:val="18"/>
              <w:szCs w:val="18"/>
            </w:rPr>
            <w:t>objętego Programem</w:t>
          </w:r>
          <w:r w:rsidRPr="0043658B">
            <w:rPr>
              <w:rFonts w:ascii="Times New Roman" w:hAnsi="Times New Roman" w:cs="Times New Roman"/>
              <w:sz w:val="18"/>
              <w:szCs w:val="18"/>
            </w:rPr>
            <w:t xml:space="preserve"> Rozwoju Obszarów Wiejskich na lata 2014-2020. Cel projektu: </w:t>
          </w:r>
          <w:r>
            <w:rPr>
              <w:rFonts w:ascii="Times New Roman" w:hAnsi="Times New Roman" w:cs="Times New Roman"/>
              <w:sz w:val="18"/>
              <w:szCs w:val="18"/>
            </w:rPr>
            <w:t>Wdrażanie LSR</w:t>
          </w:r>
        </w:p>
      </w:tc>
    </w:tr>
  </w:tbl>
  <w:p w:rsidR="00FF4130" w:rsidRDefault="00FF4130" w:rsidP="00FF41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3C6B"/>
    <w:multiLevelType w:val="hybridMultilevel"/>
    <w:tmpl w:val="1CD0AEA2"/>
    <w:lvl w:ilvl="0" w:tplc="71485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50"/>
    <w:rsid w:val="00011542"/>
    <w:rsid w:val="00024C99"/>
    <w:rsid w:val="00087C93"/>
    <w:rsid w:val="001163C6"/>
    <w:rsid w:val="00117675"/>
    <w:rsid w:val="00117CE0"/>
    <w:rsid w:val="001B053A"/>
    <w:rsid w:val="001C1255"/>
    <w:rsid w:val="001E79A7"/>
    <w:rsid w:val="00225B94"/>
    <w:rsid w:val="00243292"/>
    <w:rsid w:val="002615A5"/>
    <w:rsid w:val="00266E3A"/>
    <w:rsid w:val="002D5130"/>
    <w:rsid w:val="002F1C9D"/>
    <w:rsid w:val="00313D6C"/>
    <w:rsid w:val="00317405"/>
    <w:rsid w:val="0036285A"/>
    <w:rsid w:val="00413B22"/>
    <w:rsid w:val="0046480B"/>
    <w:rsid w:val="004C42C0"/>
    <w:rsid w:val="004E0209"/>
    <w:rsid w:val="005063EE"/>
    <w:rsid w:val="0051637C"/>
    <w:rsid w:val="005276BD"/>
    <w:rsid w:val="00546935"/>
    <w:rsid w:val="00556C68"/>
    <w:rsid w:val="005743FF"/>
    <w:rsid w:val="00592142"/>
    <w:rsid w:val="005B4C70"/>
    <w:rsid w:val="005F6976"/>
    <w:rsid w:val="00606CDE"/>
    <w:rsid w:val="00687612"/>
    <w:rsid w:val="006A6C97"/>
    <w:rsid w:val="006E013D"/>
    <w:rsid w:val="0073179E"/>
    <w:rsid w:val="008015D3"/>
    <w:rsid w:val="008237F3"/>
    <w:rsid w:val="00840C9A"/>
    <w:rsid w:val="00843274"/>
    <w:rsid w:val="008B1B65"/>
    <w:rsid w:val="008C4C2C"/>
    <w:rsid w:val="008E27C7"/>
    <w:rsid w:val="00947EA9"/>
    <w:rsid w:val="00950C39"/>
    <w:rsid w:val="009C5943"/>
    <w:rsid w:val="009D2450"/>
    <w:rsid w:val="00A108BC"/>
    <w:rsid w:val="00A31863"/>
    <w:rsid w:val="00A3488B"/>
    <w:rsid w:val="00B010DB"/>
    <w:rsid w:val="00B23035"/>
    <w:rsid w:val="00BE7E67"/>
    <w:rsid w:val="00C52DD9"/>
    <w:rsid w:val="00CB5BB9"/>
    <w:rsid w:val="00CF0CF8"/>
    <w:rsid w:val="00D601C1"/>
    <w:rsid w:val="00D6762A"/>
    <w:rsid w:val="00DB08BB"/>
    <w:rsid w:val="00DB3677"/>
    <w:rsid w:val="00DB4DB2"/>
    <w:rsid w:val="00E26AD4"/>
    <w:rsid w:val="00E5264E"/>
    <w:rsid w:val="00E602DD"/>
    <w:rsid w:val="00E721C8"/>
    <w:rsid w:val="00E903B9"/>
    <w:rsid w:val="00F27590"/>
    <w:rsid w:val="00F674D0"/>
    <w:rsid w:val="00F80AF9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30"/>
  </w:style>
  <w:style w:type="paragraph" w:styleId="Stopka">
    <w:name w:val="footer"/>
    <w:basedOn w:val="Normalny"/>
    <w:link w:val="Stopka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30"/>
  </w:style>
  <w:style w:type="paragraph" w:styleId="Tekstdymka">
    <w:name w:val="Balloon Text"/>
    <w:basedOn w:val="Normalny"/>
    <w:link w:val="TekstdymkaZnak"/>
    <w:uiPriority w:val="99"/>
    <w:semiHidden/>
    <w:unhideWhenUsed/>
    <w:rsid w:val="00F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30"/>
  </w:style>
  <w:style w:type="paragraph" w:styleId="Stopka">
    <w:name w:val="footer"/>
    <w:basedOn w:val="Normalny"/>
    <w:link w:val="Stopka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30"/>
  </w:style>
  <w:style w:type="paragraph" w:styleId="Tekstdymka">
    <w:name w:val="Balloon Text"/>
    <w:basedOn w:val="Normalny"/>
    <w:link w:val="TekstdymkaZnak"/>
    <w:uiPriority w:val="99"/>
    <w:semiHidden/>
    <w:unhideWhenUsed/>
    <w:rsid w:val="00F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skadolinabugu@poczta.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Niestandardowy 7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3D79F2"/>
      </a:accent1>
      <a:accent2>
        <a:srgbClr val="04BFBF"/>
      </a:accent2>
      <a:accent3>
        <a:srgbClr val="05F2DB"/>
      </a:accent3>
      <a:accent4>
        <a:srgbClr val="540000"/>
      </a:accent4>
      <a:accent5>
        <a:srgbClr val="8C6B4F"/>
      </a:accent5>
      <a:accent6>
        <a:srgbClr val="401818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pc</cp:lastModifiedBy>
  <cp:revision>19</cp:revision>
  <cp:lastPrinted>2018-05-11T08:44:00Z</cp:lastPrinted>
  <dcterms:created xsi:type="dcterms:W3CDTF">2018-05-09T11:53:00Z</dcterms:created>
  <dcterms:modified xsi:type="dcterms:W3CDTF">2018-05-11T10:59:00Z</dcterms:modified>
</cp:coreProperties>
</file>