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2588"/>
        <w:gridCol w:w="2588"/>
        <w:gridCol w:w="1990"/>
      </w:tblGrid>
      <w:tr w:rsidR="001F1F42" w:rsidTr="00683370">
        <w:trPr>
          <w:trHeight w:val="1063"/>
        </w:trPr>
        <w:tc>
          <w:tcPr>
            <w:tcW w:w="1359" w:type="pct"/>
            <w:tcBorders>
              <w:top w:val="nil"/>
              <w:bottom w:val="dotted" w:sz="4" w:space="0" w:color="A5947E" w:themeColor="text2" w:themeTint="99"/>
            </w:tcBorders>
            <w:vAlign w:val="center"/>
          </w:tcPr>
          <w:p w:rsidR="001F1F42" w:rsidRDefault="001F1F42" w:rsidP="00683370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3E6DE8" wp14:editId="7F0B17CC">
                  <wp:extent cx="828675" cy="553794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856" cy="55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A5947E" w:themeColor="text2" w:themeTint="99"/>
            </w:tcBorders>
            <w:vAlign w:val="center"/>
          </w:tcPr>
          <w:p w:rsidR="001F1F42" w:rsidRDefault="001F1F42" w:rsidP="006833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9CE7FD" wp14:editId="097CD0EC">
                  <wp:extent cx="552450" cy="55553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yp LEADER kolor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706" cy="555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A5947E" w:themeColor="text2" w:themeTint="99"/>
            </w:tcBorders>
            <w:vAlign w:val="center"/>
          </w:tcPr>
          <w:p w:rsidR="001F1F42" w:rsidRDefault="001F1F42" w:rsidP="006833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679274" wp14:editId="646A1FC4">
                  <wp:extent cx="542925" cy="558437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DB w kole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721" cy="565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A5947E" w:themeColor="text2" w:themeTint="99"/>
            </w:tcBorders>
            <w:vAlign w:val="center"/>
          </w:tcPr>
          <w:p w:rsidR="001F1F42" w:rsidRDefault="001F1F42" w:rsidP="0068337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5181D0" wp14:editId="0FEDD9B7">
                  <wp:extent cx="857250" cy="561011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648" cy="561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F42" w:rsidTr="00683370">
        <w:trPr>
          <w:trHeight w:val="905"/>
        </w:trPr>
        <w:tc>
          <w:tcPr>
            <w:tcW w:w="5000" w:type="pct"/>
            <w:gridSpan w:val="4"/>
            <w:tcBorders>
              <w:top w:val="dotted" w:sz="4" w:space="0" w:color="A5947E" w:themeColor="text2" w:themeTint="99"/>
              <w:bottom w:val="single" w:sz="12" w:space="0" w:color="A5947E" w:themeColor="text2" w:themeTint="99"/>
            </w:tcBorders>
          </w:tcPr>
          <w:p w:rsidR="001F1F42" w:rsidRPr="0031789E" w:rsidRDefault="001F1F42" w:rsidP="00683370">
            <w:pPr>
              <w:ind w:left="-142" w:right="-108"/>
              <w:jc w:val="center"/>
              <w:rPr>
                <w:rFonts w:cs="Times New Roman"/>
                <w:sz w:val="18"/>
                <w:szCs w:val="18"/>
              </w:rPr>
            </w:pPr>
            <w:r w:rsidRPr="001F1F42">
              <w:rPr>
                <w:rFonts w:ascii="Times New Roman" w:hAnsi="Times New Roman" w:cs="Times New Roman"/>
                <w:b/>
                <w:color w:val="463527" w:themeColor="accent5" w:themeShade="80"/>
                <w:sz w:val="18"/>
                <w:szCs w:val="18"/>
              </w:rPr>
              <w:t>„Europejski Fundusz Rolny na rzecz Rozwoju Obszarów Wiejskich: Europa inwestująca w obszary wiejskie”.</w:t>
            </w:r>
            <w:r w:rsidRPr="001F1F42">
              <w:rPr>
                <w:rFonts w:ascii="Times New Roman" w:hAnsi="Times New Roman" w:cs="Times New Roman"/>
                <w:color w:val="463527" w:themeColor="accent5" w:themeShade="80"/>
                <w:sz w:val="18"/>
                <w:szCs w:val="18"/>
              </w:rPr>
              <w:t xml:space="preserve"> </w:t>
            </w:r>
            <w:r w:rsidRPr="001F1F42">
              <w:rPr>
                <w:rFonts w:ascii="Times New Roman" w:hAnsi="Times New Roman" w:cs="Times New Roman"/>
                <w:color w:val="463527" w:themeColor="accent5" w:themeShade="80"/>
                <w:sz w:val="18"/>
                <w:szCs w:val="18"/>
              </w:rPr>
              <w:br/>
              <w:t>Projekt współfinansowany ze środków Unii Europejskiej w ramach Działania 19. „Wsparcie dla rozwoju lokalnego w ramach inicjatywy LEADER” objętego Programem Rozwoju Obszarów Wiejskich na lata 2014-2020. Cel projektu: Wdrażanie LSR</w:t>
            </w:r>
          </w:p>
        </w:tc>
      </w:tr>
    </w:tbl>
    <w:p w:rsidR="001F1F42" w:rsidRPr="001F1F42" w:rsidRDefault="00A364E2" w:rsidP="001F1F42">
      <w:pPr>
        <w:spacing w:after="0"/>
        <w:ind w:left="8222"/>
        <w:rPr>
          <w:rFonts w:ascii="Book Antiqua" w:hAnsi="Book Antiqua"/>
          <w:i/>
          <w:color w:val="463527" w:themeColor="accent5" w:themeShade="80"/>
          <w:sz w:val="24"/>
          <w:szCs w:val="24"/>
        </w:rPr>
      </w:pPr>
      <w:r>
        <w:rPr>
          <w:rFonts w:ascii="Book Antiqua" w:hAnsi="Book Antiqua"/>
          <w:i/>
          <w:color w:val="463527" w:themeColor="accent5" w:themeShade="80"/>
          <w:sz w:val="24"/>
          <w:szCs w:val="24"/>
        </w:rPr>
        <w:t>11</w:t>
      </w:r>
      <w:bookmarkStart w:id="0" w:name="_GoBack"/>
      <w:bookmarkEnd w:id="0"/>
      <w:r w:rsidR="001B02A1">
        <w:rPr>
          <w:rFonts w:ascii="Book Antiqua" w:hAnsi="Book Antiqua"/>
          <w:i/>
          <w:color w:val="463527" w:themeColor="accent5" w:themeShade="80"/>
          <w:sz w:val="24"/>
          <w:szCs w:val="24"/>
        </w:rPr>
        <w:t>.06.2021</w:t>
      </w:r>
      <w:r w:rsidR="001F1F42">
        <w:rPr>
          <w:rFonts w:ascii="Book Antiqua" w:hAnsi="Book Antiqua"/>
          <w:i/>
          <w:color w:val="463527" w:themeColor="accent5" w:themeShade="80"/>
          <w:sz w:val="24"/>
          <w:szCs w:val="24"/>
        </w:rPr>
        <w:t>r.</w:t>
      </w:r>
    </w:p>
    <w:p w:rsidR="009D2450" w:rsidRPr="001F1F42" w:rsidRDefault="009D2450" w:rsidP="009D2450">
      <w:pPr>
        <w:spacing w:after="0"/>
        <w:jc w:val="center"/>
        <w:rPr>
          <w:rFonts w:ascii="Book Antiqua" w:hAnsi="Book Antiqua"/>
          <w:b/>
          <w:color w:val="463527" w:themeColor="accent5" w:themeShade="80"/>
          <w:sz w:val="28"/>
          <w:szCs w:val="28"/>
        </w:rPr>
      </w:pPr>
      <w:r w:rsidRPr="001F1F42">
        <w:rPr>
          <w:rFonts w:ascii="Book Antiqua" w:hAnsi="Book Antiqua"/>
          <w:b/>
          <w:color w:val="463527" w:themeColor="accent5" w:themeShade="80"/>
          <w:sz w:val="28"/>
          <w:szCs w:val="28"/>
        </w:rPr>
        <w:t>FORMULARZ ZGŁASZANIA UWAG</w:t>
      </w:r>
    </w:p>
    <w:p w:rsidR="00CB5BB9" w:rsidRPr="001F1F42" w:rsidRDefault="00024C99" w:rsidP="00D3503D">
      <w:pPr>
        <w:spacing w:after="240"/>
        <w:jc w:val="center"/>
        <w:rPr>
          <w:rFonts w:ascii="Book Antiqua" w:hAnsi="Book Antiqua"/>
          <w:b/>
          <w:color w:val="463527" w:themeColor="accent5" w:themeShade="80"/>
          <w:sz w:val="28"/>
          <w:szCs w:val="28"/>
        </w:rPr>
      </w:pPr>
      <w:r w:rsidRPr="001F1F42">
        <w:rPr>
          <w:rFonts w:ascii="Book Antiqua" w:hAnsi="Book Antiqua"/>
          <w:b/>
          <w:color w:val="463527" w:themeColor="accent5" w:themeShade="80"/>
          <w:sz w:val="28"/>
          <w:szCs w:val="28"/>
        </w:rPr>
        <w:t>d</w:t>
      </w:r>
      <w:r w:rsidR="00CB5BB9" w:rsidRPr="001F1F42">
        <w:rPr>
          <w:rFonts w:ascii="Book Antiqua" w:hAnsi="Book Antiqua"/>
          <w:b/>
          <w:color w:val="463527" w:themeColor="accent5" w:themeShade="80"/>
          <w:sz w:val="28"/>
          <w:szCs w:val="28"/>
        </w:rPr>
        <w:t xml:space="preserve">o projektu </w:t>
      </w:r>
      <w:r w:rsidR="008B1B65" w:rsidRPr="001F1F42">
        <w:rPr>
          <w:rFonts w:ascii="Book Antiqua" w:hAnsi="Book Antiqua"/>
          <w:b/>
          <w:color w:val="463527" w:themeColor="accent5" w:themeShade="80"/>
          <w:sz w:val="28"/>
          <w:szCs w:val="28"/>
        </w:rPr>
        <w:t>zmian w Strategii Rozwoju Lokalnego Kierowanego przez Społeczność (LSR) na okres programowania PROW 2014-2020</w:t>
      </w:r>
      <w:r w:rsidR="00CB5BB9" w:rsidRPr="001F1F42">
        <w:rPr>
          <w:rFonts w:ascii="Book Antiqua" w:hAnsi="Book Antiqua"/>
          <w:b/>
          <w:color w:val="463527" w:themeColor="accent5" w:themeShade="80"/>
          <w:sz w:val="28"/>
          <w:szCs w:val="28"/>
        </w:rPr>
        <w:t xml:space="preserve"> Stowarzyszenia „Poleska Dolina Bugu”</w:t>
      </w:r>
    </w:p>
    <w:p w:rsidR="00D3503D" w:rsidRPr="001F1F42" w:rsidRDefault="00D3503D" w:rsidP="009D2450">
      <w:pPr>
        <w:spacing w:after="0"/>
        <w:jc w:val="center"/>
        <w:rPr>
          <w:rFonts w:ascii="Book Antiqua" w:hAnsi="Book Antiqua"/>
          <w:b/>
          <w:color w:val="463527" w:themeColor="accent5" w:themeShade="80"/>
          <w:sz w:val="24"/>
          <w:szCs w:val="24"/>
        </w:rPr>
      </w:pPr>
      <w:r w:rsidRPr="001F1F42">
        <w:rPr>
          <w:rFonts w:ascii="Book Antiqua" w:hAnsi="Book Antiqua"/>
          <w:b/>
          <w:color w:val="463527" w:themeColor="accent5" w:themeShade="80"/>
          <w:sz w:val="24"/>
          <w:szCs w:val="24"/>
        </w:rPr>
        <w:t>Przypisanie różnic kursowych do celów, przedsięwzięć i wskaźników budżetu LSR</w:t>
      </w:r>
    </w:p>
    <w:p w:rsidR="009874A1" w:rsidRPr="00D3503D" w:rsidRDefault="009874A1" w:rsidP="009D2450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32"/>
      </w:tblGrid>
      <w:tr w:rsidR="009874A1" w:rsidTr="00A364E2">
        <w:trPr>
          <w:trHeight w:val="3134"/>
        </w:trPr>
        <w:tc>
          <w:tcPr>
            <w:tcW w:w="9982" w:type="dxa"/>
            <w:shd w:val="clear" w:color="auto" w:fill="EAE1D9" w:themeFill="accent5" w:themeFillTint="33"/>
            <w:vAlign w:val="center"/>
          </w:tcPr>
          <w:p w:rsidR="009874A1" w:rsidRPr="001F1F42" w:rsidRDefault="009874A1" w:rsidP="00262C2A">
            <w:pPr>
              <w:spacing w:after="120"/>
              <w:ind w:left="284"/>
              <w:rPr>
                <w:rFonts w:ascii="Book Antiqua" w:hAnsi="Book Antiqua"/>
                <w:u w:val="single"/>
              </w:rPr>
            </w:pPr>
            <w:r w:rsidRPr="001F1F42">
              <w:rPr>
                <w:rFonts w:ascii="Book Antiqua" w:hAnsi="Book Antiqua"/>
                <w:u w:val="single"/>
              </w:rPr>
              <w:t>Uzasadnienie projektowanych zmian:</w:t>
            </w:r>
          </w:p>
          <w:p w:rsidR="006118CA" w:rsidRDefault="001B02A1" w:rsidP="006118CA">
            <w:pPr>
              <w:ind w:left="284" w:right="268" w:firstLine="4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Zgodnie z projektowaną zmianą Programu Rozwoju Obszarów Wiejskich na lata 2014-2020, planowane jest </w:t>
            </w:r>
            <w:r w:rsidR="00B16D59">
              <w:rPr>
                <w:rFonts w:ascii="Book Antiqua" w:hAnsi="Book Antiqua"/>
              </w:rPr>
              <w:t xml:space="preserve">m.in. </w:t>
            </w:r>
            <w:r>
              <w:rPr>
                <w:rFonts w:ascii="Book Antiqua" w:hAnsi="Book Antiqua"/>
              </w:rPr>
              <w:t xml:space="preserve">podwyższenie wysokości środków finansowych w ramach poddziałania 19.2 </w:t>
            </w:r>
            <w:r w:rsidRPr="006118CA">
              <w:rPr>
                <w:rFonts w:ascii="Book Antiqua" w:hAnsi="Book Antiqua"/>
                <w:i/>
              </w:rPr>
              <w:t>Wsparcie realizacji operacji w ramach strategii rozwoju lokalnego kierowanego przez społeczność</w:t>
            </w:r>
            <w:r w:rsidR="00B16D59">
              <w:rPr>
                <w:rFonts w:ascii="Book Antiqua" w:hAnsi="Book Antiqua"/>
              </w:rPr>
              <w:t>. Zgodnie z informacjami przekazanymi przez Ministerstwo Rolnictwa i Rozwoju Wsi pismem WPR.wao.510.35.2021 z dn. 15.04.2021</w:t>
            </w:r>
            <w:r w:rsidR="006118CA">
              <w:rPr>
                <w:rFonts w:ascii="Book Antiqua" w:hAnsi="Book Antiqua"/>
              </w:rPr>
              <w:t xml:space="preserve"> </w:t>
            </w:r>
            <w:r w:rsidR="00B16D59">
              <w:rPr>
                <w:rFonts w:ascii="Book Antiqua" w:hAnsi="Book Antiqua"/>
              </w:rPr>
              <w:t>r. uzupełnionymi przez Urząd Marszałkowski Województwa Lubelskiego</w:t>
            </w:r>
            <w:r w:rsidR="006118CA">
              <w:rPr>
                <w:rFonts w:ascii="Book Antiqua" w:hAnsi="Book Antiqua"/>
              </w:rPr>
              <w:t xml:space="preserve"> w dniu </w:t>
            </w:r>
            <w:r w:rsidR="003F7EDF">
              <w:rPr>
                <w:rFonts w:ascii="Book Antiqua" w:hAnsi="Book Antiqua"/>
              </w:rPr>
              <w:t>22.04.2021 r.</w:t>
            </w:r>
            <w:r w:rsidR="00B16D59">
              <w:rPr>
                <w:rFonts w:ascii="Book Antiqua" w:hAnsi="Book Antiqua"/>
              </w:rPr>
              <w:t>, LGD Stowarzyszenie „</w:t>
            </w:r>
            <w:r w:rsidR="006118CA">
              <w:rPr>
                <w:rFonts w:ascii="Book Antiqua" w:hAnsi="Book Antiqua"/>
              </w:rPr>
              <w:t xml:space="preserve">Poleska Dolina Bugu” może ubiegać się o maksymalnie </w:t>
            </w:r>
            <w:r w:rsidR="006118CA" w:rsidRPr="00810FB7">
              <w:rPr>
                <w:rFonts w:ascii="Book Antiqua" w:hAnsi="Book Antiqua"/>
                <w:b/>
              </w:rPr>
              <w:t>446 tys. EUR</w:t>
            </w:r>
            <w:r w:rsidR="006118CA">
              <w:rPr>
                <w:rFonts w:ascii="Book Antiqua" w:hAnsi="Book Antiqua"/>
              </w:rPr>
              <w:t xml:space="preserve">, co przy indykatywnym kursie 4PLN/EUR wynosi </w:t>
            </w:r>
            <w:r w:rsidR="006118CA" w:rsidRPr="00810FB7">
              <w:rPr>
                <w:rFonts w:ascii="Book Antiqua" w:hAnsi="Book Antiqua"/>
                <w:b/>
              </w:rPr>
              <w:t>1 784 000 PLN</w:t>
            </w:r>
            <w:r w:rsidR="006118CA">
              <w:rPr>
                <w:rFonts w:ascii="Book Antiqua" w:hAnsi="Book Antiqua"/>
              </w:rPr>
              <w:t>. Minimum 35% tej kwoty, tj. w zaokrągleniu do wielokrotności premii 160 000 EUR/640 000 PLN musi zostać przeznaczone na wsparcie operacji z zakresu podejmowania działalności gospodarczej. Pozostała kwota 286 000 EUR/ 1 144 000 PLN podlega rozdysponowaniu w LSR w ramach poddziałania 19.2, tj. na nabory wniosków lub operację własną LGD. Zwiększony budżet LSR w ramach poddziałania 19.2 musi zostać rozliczony (złożone wnioski o płatność) do 30.06.2024r.</w:t>
            </w:r>
          </w:p>
          <w:p w:rsidR="00ED1929" w:rsidRPr="00ED1929" w:rsidRDefault="00ED1929" w:rsidP="006118CA">
            <w:pPr>
              <w:ind w:left="284" w:right="268" w:firstLine="425"/>
              <w:jc w:val="both"/>
              <w:rPr>
                <w:rFonts w:ascii="Book Antiqua" w:hAnsi="Book Antiqua"/>
                <w:color w:val="FF0000"/>
              </w:rPr>
            </w:pPr>
            <w:r w:rsidRPr="00ED1929">
              <w:rPr>
                <w:rFonts w:ascii="Book Antiqua" w:hAnsi="Book Antiqua"/>
                <w:color w:val="FF0000"/>
              </w:rPr>
              <w:t>Ponadto LGD może zwiększyć budżet poddziałania 19.3 (projekty współpracy) w LSR w związku ze zwiększeniu budżetu w ramach poddziałania 19.2 (konkursy, operacja własna). Maksymalna kwota dostępna dla LGD na wdrażanie projektów współpracy w ramach poddziałania 19.3 stanowi 10% budżetu na wdrażanie LSR w ramach poddziałania 19.2.</w:t>
            </w:r>
            <w:r>
              <w:rPr>
                <w:rFonts w:ascii="Book Antiqua" w:hAnsi="Book Antiqua"/>
                <w:color w:val="FF0000"/>
              </w:rPr>
              <w:t xml:space="preserve"> Zatem zwiększenie budżetu na wdrażanie LSR o 446 tys. EUR oznacza możliwość zwiększenia budżetu na wdrażanie projektów współpracy o 44 600 EUR.</w:t>
            </w:r>
          </w:p>
          <w:p w:rsidR="006118CA" w:rsidRDefault="006118CA" w:rsidP="006118CA">
            <w:pPr>
              <w:ind w:left="284" w:right="268" w:firstLine="4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Zarząd Stowarzyszenia „Poleska Dolina Bugu” proponuje następujące rozdysponowanie tych środków:</w:t>
            </w:r>
          </w:p>
          <w:p w:rsidR="006118CA" w:rsidRDefault="006118CA" w:rsidP="006118CA">
            <w:pPr>
              <w:pStyle w:val="Akapitzlist"/>
              <w:numPr>
                <w:ilvl w:val="0"/>
                <w:numId w:val="2"/>
              </w:numPr>
              <w:ind w:right="26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160 000 EUR/ 640 000 PLN </w:t>
            </w:r>
            <w:r w:rsidR="00ED1929">
              <w:rPr>
                <w:rFonts w:ascii="Book Antiqua" w:hAnsi="Book Antiqua"/>
              </w:rPr>
              <w:t xml:space="preserve">[19.2] </w:t>
            </w:r>
            <w:r>
              <w:rPr>
                <w:rFonts w:ascii="Book Antiqua" w:hAnsi="Book Antiqua"/>
              </w:rPr>
              <w:t xml:space="preserve">– na podejmowanie działalności </w:t>
            </w:r>
            <w:r w:rsidR="00810FB7">
              <w:rPr>
                <w:rFonts w:ascii="Book Antiqua" w:hAnsi="Book Antiqua"/>
              </w:rPr>
              <w:t>gospodarczej (obligatoryjn</w:t>
            </w:r>
            <w:r>
              <w:rPr>
                <w:rFonts w:ascii="Book Antiqua" w:hAnsi="Book Antiqua"/>
              </w:rPr>
              <w:t>e)</w:t>
            </w:r>
          </w:p>
          <w:p w:rsidR="006118CA" w:rsidRDefault="003F7EDF" w:rsidP="006118CA">
            <w:pPr>
              <w:pStyle w:val="Akapitzlist"/>
              <w:numPr>
                <w:ilvl w:val="0"/>
                <w:numId w:val="2"/>
              </w:numPr>
              <w:ind w:right="26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25 000</w:t>
            </w:r>
            <w:r w:rsidR="006118CA">
              <w:rPr>
                <w:rFonts w:ascii="Book Antiqua" w:hAnsi="Book Antiqua"/>
              </w:rPr>
              <w:t xml:space="preserve"> EUR/ 100 000 PLN </w:t>
            </w:r>
            <w:r w:rsidR="00ED1929">
              <w:rPr>
                <w:rFonts w:ascii="Book Antiqua" w:hAnsi="Book Antiqua"/>
              </w:rPr>
              <w:t xml:space="preserve">[19.2] </w:t>
            </w:r>
            <w:r w:rsidR="006118CA">
              <w:rPr>
                <w:rFonts w:ascii="Book Antiqua" w:hAnsi="Book Antiqua"/>
              </w:rPr>
              <w:t>– na operację własną z zakresu promocji obszaru LSR</w:t>
            </w:r>
          </w:p>
          <w:p w:rsidR="003F7EDF" w:rsidRDefault="003F7EDF" w:rsidP="006118CA">
            <w:pPr>
              <w:pStyle w:val="Akapitzlist"/>
              <w:numPr>
                <w:ilvl w:val="0"/>
                <w:numId w:val="2"/>
              </w:numPr>
              <w:ind w:right="268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261 000 EUR / 1 044 000 PLN </w:t>
            </w:r>
            <w:r w:rsidR="00ED1929">
              <w:rPr>
                <w:rFonts w:ascii="Book Antiqua" w:hAnsi="Book Antiqua"/>
              </w:rPr>
              <w:t xml:space="preserve">[19.2] </w:t>
            </w:r>
            <w:r>
              <w:rPr>
                <w:rFonts w:ascii="Book Antiqua" w:hAnsi="Book Antiqua"/>
              </w:rPr>
              <w:t>– na operacje z zakresu rozwoju niekomercyjnej infrastruktury rekreacyjnej</w:t>
            </w:r>
          </w:p>
          <w:p w:rsidR="00ED1929" w:rsidRPr="00A364E2" w:rsidRDefault="00ED1929" w:rsidP="006118CA">
            <w:pPr>
              <w:pStyle w:val="Akapitzlist"/>
              <w:numPr>
                <w:ilvl w:val="0"/>
                <w:numId w:val="2"/>
              </w:numPr>
              <w:ind w:right="268"/>
              <w:jc w:val="both"/>
              <w:rPr>
                <w:rFonts w:ascii="Book Antiqua" w:hAnsi="Book Antiqua"/>
                <w:color w:val="FF0000"/>
              </w:rPr>
            </w:pPr>
            <w:r w:rsidRPr="00A364E2">
              <w:rPr>
                <w:rFonts w:ascii="Book Antiqua" w:hAnsi="Book Antiqua"/>
                <w:color w:val="FF0000"/>
              </w:rPr>
              <w:t>446 000 EUR / 178 400 PLN [19.3] – na wdrażanie projektów współpracy</w:t>
            </w:r>
          </w:p>
          <w:p w:rsidR="003F7EDF" w:rsidRDefault="003F7EDF" w:rsidP="003F7EDF">
            <w:pPr>
              <w:ind w:left="313" w:right="268" w:firstLine="4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Operacja własna planowana do realizacji w latach 2022 -2023 z dodatkowych środków pozwoli na realizację zadań o charakterze promocyjnym dla całego obszaru objętego LSR.</w:t>
            </w:r>
          </w:p>
          <w:p w:rsidR="00810FB7" w:rsidRDefault="003F7EDF" w:rsidP="003F7EDF">
            <w:pPr>
              <w:ind w:left="313" w:right="268" w:firstLine="425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 skierowaniu pozostałej puli dodatkowych środków </w:t>
            </w:r>
            <w:r w:rsidR="00ED1929">
              <w:rPr>
                <w:rFonts w:ascii="Book Antiqua" w:hAnsi="Book Antiqua"/>
              </w:rPr>
              <w:t xml:space="preserve">z 19.2 </w:t>
            </w:r>
            <w:r>
              <w:rPr>
                <w:rFonts w:ascii="Book Antiqua" w:hAnsi="Book Antiqua"/>
              </w:rPr>
              <w:t xml:space="preserve">na realizację projektów z zakresu rozwoju ogólnodostępnej infrastruktury rekreacyjnej przemawiają wciąż niezaspokojone potrzeby społeczności lokalnej w tym obszarze. </w:t>
            </w:r>
          </w:p>
          <w:p w:rsidR="00ED1929" w:rsidRPr="00A364E2" w:rsidRDefault="00ED1929" w:rsidP="003F7EDF">
            <w:pPr>
              <w:ind w:left="313" w:right="268" w:firstLine="425"/>
              <w:jc w:val="both"/>
              <w:rPr>
                <w:rFonts w:ascii="Book Antiqua" w:hAnsi="Book Antiqua"/>
                <w:color w:val="FF0000"/>
              </w:rPr>
            </w:pPr>
            <w:r w:rsidRPr="00A364E2">
              <w:rPr>
                <w:rFonts w:ascii="Book Antiqua" w:hAnsi="Book Antiqua"/>
                <w:color w:val="FF0000"/>
              </w:rPr>
              <w:t xml:space="preserve">Zwiększając budżet na wdrażanie projektów współpracy proponuje się nie przypisywać do tych środków żadnych </w:t>
            </w:r>
            <w:r w:rsidR="005976D4" w:rsidRPr="00A364E2">
              <w:rPr>
                <w:rFonts w:ascii="Book Antiqua" w:hAnsi="Book Antiqua"/>
                <w:color w:val="FF0000"/>
              </w:rPr>
              <w:t xml:space="preserve">dodatkowych </w:t>
            </w:r>
            <w:r w:rsidRPr="00A364E2">
              <w:rPr>
                <w:rFonts w:ascii="Book Antiqua" w:hAnsi="Book Antiqua"/>
                <w:color w:val="FF0000"/>
              </w:rPr>
              <w:t>wskaźników, a przeznaczyć je na zwiększenie dofinansowania projektu współpracy pn. „Sieć punktów aktywnego wypoczynku i rekreacji”. Rozwiązanie to jest uzasadnione faktem, że koszty inwestycji objętych ty</w:t>
            </w:r>
            <w:r w:rsidR="005976D4" w:rsidRPr="00A364E2">
              <w:rPr>
                <w:rFonts w:ascii="Book Antiqua" w:hAnsi="Book Antiqua"/>
                <w:color w:val="FF0000"/>
              </w:rPr>
              <w:t>m</w:t>
            </w:r>
            <w:r w:rsidRPr="00A364E2">
              <w:rPr>
                <w:rFonts w:ascii="Book Antiqua" w:hAnsi="Book Antiqua"/>
                <w:color w:val="FF0000"/>
              </w:rPr>
              <w:t xml:space="preserve"> projektem wzrosły o </w:t>
            </w:r>
            <w:r w:rsidR="005976D4" w:rsidRPr="00A364E2">
              <w:rPr>
                <w:rFonts w:ascii="Book Antiqua" w:hAnsi="Book Antiqua"/>
                <w:color w:val="FF0000"/>
              </w:rPr>
              <w:t>ponad 204 tys. PLN</w:t>
            </w:r>
            <w:r w:rsidRPr="00A364E2">
              <w:rPr>
                <w:rFonts w:ascii="Book Antiqua" w:hAnsi="Book Antiqua"/>
                <w:color w:val="FF0000"/>
              </w:rPr>
              <w:t xml:space="preserve"> na podstawie aktualnych ofert cenowych w stosunku do kosztorysów </w:t>
            </w:r>
            <w:r w:rsidRPr="00A364E2">
              <w:rPr>
                <w:rFonts w:ascii="Book Antiqua" w:hAnsi="Book Antiqua"/>
                <w:color w:val="FF0000"/>
              </w:rPr>
              <w:lastRenderedPageBreak/>
              <w:t xml:space="preserve">inwestorskich z listopada/grudnia 2020 r. Realizacja inwestycji po aktualnych cenach rynkowych oznaczałaby konieczność wniesienia wkładu własnego na poziomie </w:t>
            </w:r>
            <w:r w:rsidR="005976D4" w:rsidRPr="00A364E2">
              <w:rPr>
                <w:rFonts w:ascii="Book Antiqua" w:hAnsi="Book Antiqua"/>
                <w:color w:val="FF0000"/>
              </w:rPr>
              <w:t xml:space="preserve">powodującym utratę </w:t>
            </w:r>
            <w:r w:rsidRPr="00A364E2">
              <w:rPr>
                <w:rFonts w:ascii="Book Antiqua" w:hAnsi="Book Antiqua"/>
                <w:color w:val="FF0000"/>
              </w:rPr>
              <w:t xml:space="preserve">płynności finansowej LGD. </w:t>
            </w:r>
            <w:r w:rsidR="005976D4" w:rsidRPr="00A364E2">
              <w:rPr>
                <w:rFonts w:ascii="Book Antiqua" w:hAnsi="Book Antiqua"/>
                <w:color w:val="FF0000"/>
              </w:rPr>
              <w:t>Przeznaczenie dodatkowych środków z 19.3 na zwiększenie dofinansowania inwestycji w ramach ww. projektu pozwoli na realizację projektu zgodnie z wnioskiem o przyznanie pomocy bez konieczności ponoszenia nadmiernego obciążenia finansowego przez LGD.</w:t>
            </w:r>
          </w:p>
          <w:p w:rsidR="009874A1" w:rsidRDefault="00810FB7" w:rsidP="00A364E2">
            <w:pPr>
              <w:ind w:left="313" w:right="268" w:firstLine="425"/>
              <w:jc w:val="both"/>
              <w:rPr>
                <w:rFonts w:ascii="Book Antiqua" w:hAnsi="Book Antiqua"/>
                <w:b/>
                <w:u w:val="single"/>
              </w:rPr>
            </w:pPr>
            <w:r>
              <w:rPr>
                <w:rFonts w:ascii="Book Antiqua" w:hAnsi="Book Antiqua"/>
              </w:rPr>
              <w:t xml:space="preserve">Projektowane zmiany LSR po ich uzgodnieniu ze społecznością lokalną zostaną przedłożone do Urzędu Marszałkowskiego Województwa Lubelskiego. Oficjalne zwiększenie środków w LSR planowane jest po wejściu w życie zmienionego PROW 2014-2020 , tj. </w:t>
            </w:r>
            <w:r w:rsidR="001F2DB8">
              <w:rPr>
                <w:rFonts w:ascii="Book Antiqua" w:hAnsi="Book Antiqua"/>
              </w:rPr>
              <w:t>we</w:t>
            </w:r>
            <w:r>
              <w:rPr>
                <w:rFonts w:ascii="Book Antiqua" w:hAnsi="Book Antiqua"/>
              </w:rPr>
              <w:t xml:space="preserve"> wrze</w:t>
            </w:r>
            <w:r w:rsidR="001F2DB8">
              <w:rPr>
                <w:rFonts w:ascii="Book Antiqua" w:hAnsi="Book Antiqua"/>
              </w:rPr>
              <w:t>śniu</w:t>
            </w:r>
            <w:r>
              <w:rPr>
                <w:rFonts w:ascii="Book Antiqua" w:hAnsi="Book Antiqua"/>
              </w:rPr>
              <w:t xml:space="preserve"> 2021r. Nabory wniosków z dodatkowych środków </w:t>
            </w:r>
            <w:r w:rsidR="00A364E2">
              <w:rPr>
                <w:rFonts w:ascii="Book Antiqua" w:hAnsi="Book Antiqua"/>
              </w:rPr>
              <w:t xml:space="preserve">w ramach 19.2 </w:t>
            </w:r>
            <w:r>
              <w:rPr>
                <w:rFonts w:ascii="Book Antiqua" w:hAnsi="Book Antiqua"/>
              </w:rPr>
              <w:t>planowane są na IV kwartał 2021r./ I kwartał 2022r.</w:t>
            </w:r>
          </w:p>
        </w:tc>
      </w:tr>
    </w:tbl>
    <w:p w:rsidR="00225B94" w:rsidRPr="005A0252" w:rsidRDefault="009874A1" w:rsidP="00D601C1">
      <w:pPr>
        <w:spacing w:after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5EA18" wp14:editId="6DB25F6D">
                <wp:simplePos x="0" y="0"/>
                <wp:positionH relativeFrom="column">
                  <wp:posOffset>-89535</wp:posOffset>
                </wp:positionH>
                <wp:positionV relativeFrom="paragraph">
                  <wp:posOffset>128905</wp:posOffset>
                </wp:positionV>
                <wp:extent cx="6353175" cy="0"/>
                <wp:effectExtent l="57150" t="38100" r="47625" b="95250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3BD52" id="Łącznik prostoliniowy 1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10.15pt" to="493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" strokecolor="#8c6b4f [3208]" strokeweight="3pt">
                <v:shadow on="t" color="black" opacity="22937f" origin=",.5" offset="0,.63889mm"/>
              </v:line>
            </w:pict>
          </mc:Fallback>
        </mc:AlternateContent>
      </w:r>
    </w:p>
    <w:p w:rsidR="009874A1" w:rsidRDefault="009874A1" w:rsidP="00506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DB8" w:rsidRDefault="001F2DB8" w:rsidP="00506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2DB8" w:rsidRDefault="001F2DB8" w:rsidP="005063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450" w:rsidRPr="001F1F42" w:rsidRDefault="009D2450" w:rsidP="005063EE">
      <w:pPr>
        <w:spacing w:after="0"/>
        <w:jc w:val="both"/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</w:pPr>
      <w:r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>Zgłasza</w:t>
      </w:r>
      <w:r w:rsidR="00687612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 xml:space="preserve">ne </w:t>
      </w:r>
      <w:r w:rsidR="0036285A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 xml:space="preserve">inne </w:t>
      </w:r>
      <w:r w:rsidR="00687612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>propozycje zmiany</w:t>
      </w:r>
      <w:r w:rsidR="0036285A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 xml:space="preserve"> LSR w </w:t>
      </w:r>
      <w:r w:rsidR="00112F42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 xml:space="preserve">wyżej opisanym </w:t>
      </w:r>
      <w:r w:rsidR="0036285A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>zakresie</w:t>
      </w:r>
      <w:r w:rsid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>:</w:t>
      </w:r>
      <w:r w:rsidR="0036285A" w:rsidRPr="001F1F42">
        <w:rPr>
          <w:rFonts w:ascii="Times New Roman" w:hAnsi="Times New Roman" w:cs="Times New Roman"/>
          <w:b/>
          <w:color w:val="463527" w:themeColor="accent5" w:themeShade="80"/>
          <w:sz w:val="28"/>
          <w:szCs w:val="28"/>
        </w:rPr>
        <w:t xml:space="preserve"> </w:t>
      </w:r>
    </w:p>
    <w:tbl>
      <w:tblPr>
        <w:tblStyle w:val="Tabela-Siatka"/>
        <w:tblW w:w="4987" w:type="pct"/>
        <w:tblBorders>
          <w:top w:val="single" w:sz="4" w:space="0" w:color="8C6B4F" w:themeColor="accent5"/>
          <w:left w:val="single" w:sz="4" w:space="0" w:color="8C6B4F" w:themeColor="accent5"/>
          <w:bottom w:val="single" w:sz="4" w:space="0" w:color="8C6B4F" w:themeColor="accent5"/>
          <w:right w:val="single" w:sz="4" w:space="0" w:color="8C6B4F" w:themeColor="accent5"/>
          <w:insideH w:val="single" w:sz="4" w:space="0" w:color="8C6B4F" w:themeColor="accent5"/>
          <w:insideV w:val="single" w:sz="4" w:space="0" w:color="8C6B4F" w:themeColor="accent5"/>
        </w:tblBorders>
        <w:tblLook w:val="04A0" w:firstRow="1" w:lastRow="0" w:firstColumn="1" w:lastColumn="0" w:noHBand="0" w:noVBand="1"/>
      </w:tblPr>
      <w:tblGrid>
        <w:gridCol w:w="3569"/>
        <w:gridCol w:w="6237"/>
      </w:tblGrid>
      <w:tr w:rsidR="001F1F42" w:rsidRPr="00D601C1" w:rsidTr="001F1F42">
        <w:trPr>
          <w:trHeight w:val="851"/>
        </w:trPr>
        <w:tc>
          <w:tcPr>
            <w:tcW w:w="1820" w:type="pct"/>
            <w:shd w:val="clear" w:color="auto" w:fill="EAE1D9" w:themeFill="accent5" w:themeFillTint="33"/>
            <w:vAlign w:val="center"/>
          </w:tcPr>
          <w:p w:rsidR="001F1F42" w:rsidRPr="001F1F42" w:rsidRDefault="001F1F42" w:rsidP="008B1B65">
            <w:pPr>
              <w:jc w:val="center"/>
              <w:rPr>
                <w:rFonts w:ascii="Times New Roman" w:hAnsi="Times New Roman" w:cs="Times New Roman"/>
                <w:b/>
                <w:color w:val="463527" w:themeColor="accent5" w:themeShade="80"/>
                <w:sz w:val="24"/>
                <w:szCs w:val="24"/>
              </w:rPr>
            </w:pPr>
            <w:r w:rsidRPr="001F1F42">
              <w:rPr>
                <w:rFonts w:ascii="Times New Roman" w:hAnsi="Times New Roman" w:cs="Times New Roman"/>
                <w:b/>
                <w:color w:val="463527" w:themeColor="accent5" w:themeShade="80"/>
                <w:sz w:val="24"/>
                <w:szCs w:val="24"/>
              </w:rPr>
              <w:t>Zakres proponowanej przez zgłaszającego zmiany</w:t>
            </w:r>
          </w:p>
        </w:tc>
        <w:tc>
          <w:tcPr>
            <w:tcW w:w="3180" w:type="pct"/>
            <w:shd w:val="clear" w:color="auto" w:fill="EAE1D9" w:themeFill="accent5" w:themeFillTint="33"/>
            <w:vAlign w:val="center"/>
          </w:tcPr>
          <w:p w:rsidR="001F1F42" w:rsidRPr="001F1F42" w:rsidRDefault="001F1F42" w:rsidP="008B1B65">
            <w:pPr>
              <w:jc w:val="center"/>
              <w:rPr>
                <w:rFonts w:ascii="Times New Roman" w:hAnsi="Times New Roman" w:cs="Times New Roman"/>
                <w:b/>
                <w:color w:val="463527" w:themeColor="accent5" w:themeShade="80"/>
                <w:sz w:val="24"/>
                <w:szCs w:val="24"/>
              </w:rPr>
            </w:pPr>
            <w:r w:rsidRPr="001F1F42">
              <w:rPr>
                <w:rFonts w:ascii="Times New Roman" w:hAnsi="Times New Roman" w:cs="Times New Roman"/>
                <w:b/>
                <w:color w:val="463527" w:themeColor="accent5" w:themeShade="80"/>
                <w:sz w:val="24"/>
                <w:szCs w:val="24"/>
              </w:rPr>
              <w:t>Uzasadnienie</w:t>
            </w:r>
          </w:p>
        </w:tc>
      </w:tr>
      <w:tr w:rsidR="001F1F42" w:rsidRPr="00D601C1" w:rsidTr="001F1F42">
        <w:trPr>
          <w:trHeight w:val="1617"/>
        </w:trPr>
        <w:tc>
          <w:tcPr>
            <w:tcW w:w="1820" w:type="pct"/>
            <w:vAlign w:val="center"/>
          </w:tcPr>
          <w:p w:rsidR="001F1F42" w:rsidRDefault="001F1F4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4E2" w:rsidRDefault="00A364E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DB8" w:rsidRPr="00D601C1" w:rsidRDefault="001F2DB8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pct"/>
            <w:vAlign w:val="center"/>
          </w:tcPr>
          <w:p w:rsidR="001F1F42" w:rsidRPr="00D601C1" w:rsidRDefault="001F1F42" w:rsidP="0046480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4A1" w:rsidRDefault="009874A1" w:rsidP="009874A1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A364E2" w:rsidRDefault="00A364E2" w:rsidP="009874A1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9874A1" w:rsidRPr="001F1F42" w:rsidRDefault="001F1F42" w:rsidP="001F1F42">
      <w:pPr>
        <w:spacing w:after="0"/>
        <w:ind w:left="368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……….……………………………</w:t>
      </w:r>
      <w:r w:rsidRPr="001F1F42">
        <w:rPr>
          <w:rFonts w:ascii="Times New Roman" w:hAnsi="Times New Roman" w:cs="Times New Roman"/>
          <w:i/>
        </w:rPr>
        <w:t>(data i podpis zgłaszającego)</w:t>
      </w:r>
    </w:p>
    <w:p w:rsidR="001F1F42" w:rsidRDefault="001F1F42" w:rsidP="009874A1">
      <w:pPr>
        <w:spacing w:after="0"/>
        <w:ind w:left="-142"/>
        <w:jc w:val="both"/>
        <w:rPr>
          <w:rFonts w:ascii="Times New Roman" w:hAnsi="Times New Roman" w:cs="Times New Roman"/>
        </w:rPr>
      </w:pPr>
    </w:p>
    <w:p w:rsidR="00112F42" w:rsidRDefault="009874A1" w:rsidP="009874A1">
      <w:pPr>
        <w:spacing w:after="120"/>
        <w:ind w:left="-142"/>
        <w:jc w:val="both"/>
        <w:rPr>
          <w:rFonts w:ascii="Times New Roman" w:hAnsi="Times New Roman" w:cs="Times New Roman"/>
          <w:sz w:val="20"/>
          <w:szCs w:val="20"/>
        </w:rPr>
      </w:pPr>
      <w:r w:rsidRPr="005A0252">
        <w:rPr>
          <w:rFonts w:ascii="Times New Roman" w:hAnsi="Times New Roman" w:cs="Times New Roman"/>
        </w:rPr>
        <w:t xml:space="preserve">Wypełniony formularz prosimy przesłać pocztą elektroniczną na adres: </w:t>
      </w:r>
      <w:hyperlink r:id="rId12" w:history="1">
        <w:r w:rsidRPr="005A0252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poleskadolinabugu@poczta.fm</w:t>
        </w:r>
      </w:hyperlink>
      <w:r w:rsidRPr="005A0252">
        <w:rPr>
          <w:rFonts w:ascii="Times New Roman" w:hAnsi="Times New Roman" w:cs="Times New Roman"/>
        </w:rPr>
        <w:t xml:space="preserve">  lub przekazać osobiście do Biura LGD „Poleska Dolina Bugu”, Okuninka XIII-1, 22-200 Włodawa </w:t>
      </w:r>
      <w:r w:rsidRPr="005A0252">
        <w:rPr>
          <w:rFonts w:ascii="Times New Roman" w:hAnsi="Times New Roman" w:cs="Times New Roman"/>
          <w:b/>
          <w:color w:val="FF0000"/>
        </w:rPr>
        <w:t xml:space="preserve">do dnia </w:t>
      </w:r>
      <w:r w:rsidR="00C900E1">
        <w:rPr>
          <w:rFonts w:ascii="Times New Roman" w:hAnsi="Times New Roman" w:cs="Times New Roman"/>
          <w:b/>
          <w:color w:val="FF0000"/>
        </w:rPr>
        <w:t>23</w:t>
      </w:r>
      <w:r w:rsidRPr="005A0252">
        <w:rPr>
          <w:rFonts w:ascii="Times New Roman" w:hAnsi="Times New Roman" w:cs="Times New Roman"/>
          <w:b/>
          <w:color w:val="FF0000"/>
        </w:rPr>
        <w:t>.</w:t>
      </w:r>
      <w:r w:rsidR="001F2DB8">
        <w:rPr>
          <w:rFonts w:ascii="Times New Roman" w:hAnsi="Times New Roman" w:cs="Times New Roman"/>
          <w:b/>
          <w:color w:val="FF0000"/>
        </w:rPr>
        <w:t>06</w:t>
      </w:r>
      <w:r w:rsidRPr="005A0252">
        <w:rPr>
          <w:rFonts w:ascii="Times New Roman" w:hAnsi="Times New Roman" w:cs="Times New Roman"/>
          <w:b/>
          <w:color w:val="FF0000"/>
        </w:rPr>
        <w:t>.20</w:t>
      </w:r>
      <w:r>
        <w:rPr>
          <w:rFonts w:ascii="Times New Roman" w:hAnsi="Times New Roman" w:cs="Times New Roman"/>
          <w:b/>
          <w:color w:val="FF0000"/>
        </w:rPr>
        <w:t>2</w:t>
      </w:r>
      <w:r w:rsidR="001F2DB8">
        <w:rPr>
          <w:rFonts w:ascii="Times New Roman" w:hAnsi="Times New Roman" w:cs="Times New Roman"/>
          <w:b/>
          <w:color w:val="FF0000"/>
        </w:rPr>
        <w:t>1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5A0252">
        <w:rPr>
          <w:rFonts w:ascii="Times New Roman" w:hAnsi="Times New Roman" w:cs="Times New Roman"/>
          <w:b/>
          <w:color w:val="FF0000"/>
        </w:rPr>
        <w:t>r. godz. 1</w:t>
      </w:r>
      <w:r w:rsidR="001F2DB8">
        <w:rPr>
          <w:rFonts w:ascii="Times New Roman" w:hAnsi="Times New Roman" w:cs="Times New Roman"/>
          <w:b/>
          <w:color w:val="FF0000"/>
        </w:rPr>
        <w:t>6</w:t>
      </w:r>
      <w:r w:rsidRPr="005A0252">
        <w:rPr>
          <w:rFonts w:ascii="Times New Roman" w:hAnsi="Times New Roman" w:cs="Times New Roman"/>
          <w:b/>
          <w:color w:val="FF0000"/>
        </w:rPr>
        <w:t>:00</w:t>
      </w:r>
    </w:p>
    <w:p w:rsidR="001F1F42" w:rsidRDefault="009874A1">
      <w:pPr>
        <w:rPr>
          <w:rFonts w:ascii="Times New Roman" w:hAnsi="Times New Roman" w:cs="Times New Roman"/>
          <w:sz w:val="20"/>
          <w:szCs w:val="20"/>
        </w:rPr>
        <w:sectPr w:rsidR="001F1F42" w:rsidSect="001F1F42">
          <w:headerReference w:type="default" r:id="rId13"/>
          <w:pgSz w:w="11906" w:h="16838"/>
          <w:pgMar w:top="426" w:right="993" w:bottom="426" w:left="1071" w:header="142" w:footer="708" w:gutter="0"/>
          <w:cols w:space="708"/>
          <w:docGrid w:linePitch="360"/>
        </w:sectPr>
      </w:pPr>
      <w:r w:rsidRPr="009874A1">
        <w:rPr>
          <w:rFonts w:ascii="Times New Roman" w:hAnsi="Times New Roman" w:cs="Times New Roman"/>
          <w:i/>
          <w:sz w:val="20"/>
          <w:szCs w:val="20"/>
        </w:rPr>
        <w:t>Polityka bezpieczeństwa dotycząca przetwarzania danych osobowych przez Stowarzyszenie „Poleska Dolina Bugu” dostępna jest na stronie internetowej Stowarzyszenia: www.dolina-bugu.pl/o_nas/polityka_bezpieczeństwa</w:t>
      </w:r>
    </w:p>
    <w:p w:rsidR="005A0252" w:rsidRDefault="005A0252" w:rsidP="009874A1">
      <w:pPr>
        <w:rPr>
          <w:rFonts w:ascii="Times New Roman" w:hAnsi="Times New Roman" w:cs="Times New Roman"/>
          <w:sz w:val="20"/>
          <w:szCs w:val="20"/>
        </w:rPr>
      </w:pPr>
    </w:p>
    <w:sectPr w:rsidR="005A0252" w:rsidSect="009874A1">
      <w:type w:val="continuous"/>
      <w:pgSz w:w="11906" w:h="16838"/>
      <w:pgMar w:top="1135" w:right="1417" w:bottom="1417" w:left="107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29" w:rsidRDefault="00673C29" w:rsidP="00FF4130">
      <w:pPr>
        <w:spacing w:after="0" w:line="240" w:lineRule="auto"/>
      </w:pPr>
      <w:r>
        <w:separator/>
      </w:r>
    </w:p>
  </w:endnote>
  <w:endnote w:type="continuationSeparator" w:id="0">
    <w:p w:rsidR="00673C29" w:rsidRDefault="00673C29" w:rsidP="00FF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29" w:rsidRDefault="00673C29" w:rsidP="00FF4130">
      <w:pPr>
        <w:spacing w:after="0" w:line="240" w:lineRule="auto"/>
      </w:pPr>
      <w:r>
        <w:separator/>
      </w:r>
    </w:p>
  </w:footnote>
  <w:footnote w:type="continuationSeparator" w:id="0">
    <w:p w:rsidR="00673C29" w:rsidRDefault="00673C29" w:rsidP="00FF4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30" w:rsidRDefault="00FF4130">
    <w:pPr>
      <w:pStyle w:val="Nagwek"/>
    </w:pPr>
  </w:p>
  <w:p w:rsidR="00FF4130" w:rsidRDefault="00FF4130" w:rsidP="00FF41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E3C6B"/>
    <w:multiLevelType w:val="hybridMultilevel"/>
    <w:tmpl w:val="1CD0AEA2"/>
    <w:lvl w:ilvl="0" w:tplc="71485C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927A1"/>
    <w:multiLevelType w:val="hybridMultilevel"/>
    <w:tmpl w:val="2E4437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011542"/>
    <w:rsid w:val="00024C99"/>
    <w:rsid w:val="00087C93"/>
    <w:rsid w:val="00091855"/>
    <w:rsid w:val="00112F42"/>
    <w:rsid w:val="001163C6"/>
    <w:rsid w:val="00117675"/>
    <w:rsid w:val="00117CE0"/>
    <w:rsid w:val="001B02A1"/>
    <w:rsid w:val="001B053A"/>
    <w:rsid w:val="001C1255"/>
    <w:rsid w:val="001E79A7"/>
    <w:rsid w:val="001F1F42"/>
    <w:rsid w:val="001F2DB8"/>
    <w:rsid w:val="00225B94"/>
    <w:rsid w:val="00243292"/>
    <w:rsid w:val="002615A5"/>
    <w:rsid w:val="00262C2A"/>
    <w:rsid w:val="00266E3A"/>
    <w:rsid w:val="002D5130"/>
    <w:rsid w:val="002F1C9D"/>
    <w:rsid w:val="00313D6C"/>
    <w:rsid w:val="00317405"/>
    <w:rsid w:val="0036285A"/>
    <w:rsid w:val="00385E2B"/>
    <w:rsid w:val="003F7EDF"/>
    <w:rsid w:val="00413B22"/>
    <w:rsid w:val="00447F94"/>
    <w:rsid w:val="0046480B"/>
    <w:rsid w:val="004C42C0"/>
    <w:rsid w:val="004E0209"/>
    <w:rsid w:val="005063EE"/>
    <w:rsid w:val="0051637C"/>
    <w:rsid w:val="005276BD"/>
    <w:rsid w:val="00546935"/>
    <w:rsid w:val="00556C68"/>
    <w:rsid w:val="005743FF"/>
    <w:rsid w:val="00592142"/>
    <w:rsid w:val="005976D4"/>
    <w:rsid w:val="005A0252"/>
    <w:rsid w:val="005B4C70"/>
    <w:rsid w:val="005F6976"/>
    <w:rsid w:val="00606CDE"/>
    <w:rsid w:val="006118CA"/>
    <w:rsid w:val="00673C29"/>
    <w:rsid w:val="00683370"/>
    <w:rsid w:val="00687612"/>
    <w:rsid w:val="006A6C97"/>
    <w:rsid w:val="006E013D"/>
    <w:rsid w:val="0073179E"/>
    <w:rsid w:val="008015D3"/>
    <w:rsid w:val="00810FB7"/>
    <w:rsid w:val="008237F3"/>
    <w:rsid w:val="00840C9A"/>
    <w:rsid w:val="00843274"/>
    <w:rsid w:val="008B1B65"/>
    <w:rsid w:val="008C4C2C"/>
    <w:rsid w:val="008E27C7"/>
    <w:rsid w:val="00947EA9"/>
    <w:rsid w:val="00950C39"/>
    <w:rsid w:val="00983DE8"/>
    <w:rsid w:val="009874A1"/>
    <w:rsid w:val="009C5943"/>
    <w:rsid w:val="009D2450"/>
    <w:rsid w:val="009D745D"/>
    <w:rsid w:val="009F2324"/>
    <w:rsid w:val="00A108BC"/>
    <w:rsid w:val="00A31863"/>
    <w:rsid w:val="00A3488B"/>
    <w:rsid w:val="00A364E2"/>
    <w:rsid w:val="00B010DB"/>
    <w:rsid w:val="00B16D59"/>
    <w:rsid w:val="00B20FDB"/>
    <w:rsid w:val="00B23035"/>
    <w:rsid w:val="00B659C5"/>
    <w:rsid w:val="00BE7E67"/>
    <w:rsid w:val="00C410C5"/>
    <w:rsid w:val="00C52DD9"/>
    <w:rsid w:val="00C900E1"/>
    <w:rsid w:val="00CB5BB9"/>
    <w:rsid w:val="00CF0CF8"/>
    <w:rsid w:val="00D3503D"/>
    <w:rsid w:val="00D601C1"/>
    <w:rsid w:val="00D6762A"/>
    <w:rsid w:val="00DB08BB"/>
    <w:rsid w:val="00DB3677"/>
    <w:rsid w:val="00DB4DB2"/>
    <w:rsid w:val="00E26AD4"/>
    <w:rsid w:val="00E5264E"/>
    <w:rsid w:val="00E602DD"/>
    <w:rsid w:val="00E721C8"/>
    <w:rsid w:val="00E903B9"/>
    <w:rsid w:val="00ED1929"/>
    <w:rsid w:val="00F27590"/>
    <w:rsid w:val="00F674D0"/>
    <w:rsid w:val="00F80AF9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90DCB1-F1A1-4931-A876-39C7666D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1637C"/>
    <w:rPr>
      <w:color w:val="CCCC00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C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130"/>
  </w:style>
  <w:style w:type="paragraph" w:styleId="Stopka">
    <w:name w:val="footer"/>
    <w:basedOn w:val="Normalny"/>
    <w:link w:val="StopkaZnak"/>
    <w:uiPriority w:val="99"/>
    <w:unhideWhenUsed/>
    <w:rsid w:val="00FF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130"/>
  </w:style>
  <w:style w:type="paragraph" w:styleId="Tekstdymka">
    <w:name w:val="Balloon Text"/>
    <w:basedOn w:val="Normalny"/>
    <w:link w:val="TekstdymkaZnak"/>
    <w:uiPriority w:val="99"/>
    <w:semiHidden/>
    <w:unhideWhenUsed/>
    <w:rsid w:val="00FF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leskadolinabugu@poczta.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7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3D79F2"/>
      </a:accent1>
      <a:accent2>
        <a:srgbClr val="04BFBF"/>
      </a:accent2>
      <a:accent3>
        <a:srgbClr val="05F2DB"/>
      </a:accent3>
      <a:accent4>
        <a:srgbClr val="540000"/>
      </a:accent4>
      <a:accent5>
        <a:srgbClr val="8C6B4F"/>
      </a:accent5>
      <a:accent6>
        <a:srgbClr val="401818"/>
      </a:accent6>
      <a:hlink>
        <a:srgbClr val="CCCC00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EB0F8-AEEA-41A2-A55D-19100E76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</dc:creator>
  <cp:keywords/>
  <dc:description/>
  <cp:lastModifiedBy>Konto Microsoft</cp:lastModifiedBy>
  <cp:revision>3</cp:revision>
  <cp:lastPrinted>2019-06-06T13:44:00Z</cp:lastPrinted>
  <dcterms:created xsi:type="dcterms:W3CDTF">2021-06-07T11:53:00Z</dcterms:created>
  <dcterms:modified xsi:type="dcterms:W3CDTF">2021-06-11T13:09:00Z</dcterms:modified>
</cp:coreProperties>
</file>