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493"/>
        <w:gridCol w:w="2494"/>
        <w:gridCol w:w="1956"/>
      </w:tblGrid>
      <w:tr w:rsidR="00527FCB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CB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527FCB" w:rsidRPr="00272236" w:rsidRDefault="00527FCB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Default="008E0C56" w:rsidP="00726672">
      <w:pPr>
        <w:tabs>
          <w:tab w:val="left" w:pos="1985"/>
        </w:tabs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 w:rsidR="0072667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1.</w:t>
      </w:r>
      <w:r w:rsidR="00C85E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A955EA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A955EA" w:rsidRPr="00A955EA">
        <w:rPr>
          <w:rFonts w:ascii="Times New Roman" w:hAnsi="Times New Roman" w:cs="Times New Roman"/>
          <w:bCs/>
        </w:rPr>
        <w:t>Promocja obszaru LSR w oparciu o potencjał turystyczny i zasoby przyrodniczo - kulturowe</w:t>
      </w: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527FCB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70"/>
        <w:gridCol w:w="8188"/>
        <w:gridCol w:w="706"/>
      </w:tblGrid>
      <w:tr w:rsidR="00C95B37" w:rsidRPr="00C95B37" w:rsidTr="00527FCB">
        <w:trPr>
          <w:trHeight w:val="458"/>
        </w:trPr>
        <w:tc>
          <w:tcPr>
            <w:tcW w:w="570" w:type="dxa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94" w:type="dxa"/>
            <w:gridSpan w:val="2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kryterium</w:t>
            </w:r>
          </w:p>
        </w:tc>
      </w:tr>
      <w:tr w:rsidR="00527FCB" w:rsidRPr="00C95B37" w:rsidTr="003B10F5">
        <w:trPr>
          <w:trHeight w:val="443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5B23FB" w:rsidRDefault="00527FCB" w:rsidP="00A0277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B2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="00A9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Status </w:t>
            </w:r>
            <w:r w:rsidR="00A0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A9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nioskodawcy</w:t>
            </w:r>
          </w:p>
        </w:tc>
      </w:tr>
      <w:tr w:rsidR="00527FCB" w:rsidRPr="00C95B37" w:rsidTr="00223DEA">
        <w:trPr>
          <w:trHeight w:val="844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A955EA" w:rsidRPr="00A955EA" w:rsidRDefault="00527FCB" w:rsidP="00A955E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55EA" w:rsidRPr="00A955EA">
              <w:rPr>
                <w:rFonts w:ascii="Times New Roman" w:hAnsi="Times New Roman" w:cs="Times New Roman"/>
                <w:bCs/>
              </w:rPr>
              <w:t>Premiowane są operacje, których Wnioskodawcami są podmioty spoza sektora finansów publicznych. Rada oceniając projekt wedle niniejszego kryterium będzie brała pod uwagę informacje dotyczące wnioskodawcy zawarte we wniosku o przyznanie pomocy</w:t>
            </w:r>
            <w:r w:rsidR="00A955EA">
              <w:rPr>
                <w:rFonts w:ascii="Times New Roman" w:hAnsi="Times New Roman" w:cs="Times New Roman"/>
                <w:bCs/>
              </w:rPr>
              <w:t xml:space="preserve"> oraz </w:t>
            </w:r>
            <w:r w:rsidR="00ED152C">
              <w:rPr>
                <w:rFonts w:ascii="Times New Roman" w:hAnsi="Times New Roman" w:cs="Times New Roman"/>
                <w:bCs/>
              </w:rPr>
              <w:t xml:space="preserve">w </w:t>
            </w:r>
            <w:r w:rsidR="00A955EA">
              <w:rPr>
                <w:rFonts w:ascii="Times New Roman" w:hAnsi="Times New Roman" w:cs="Times New Roman"/>
                <w:bCs/>
              </w:rPr>
              <w:t>powszechnie dostępnych rejestr</w:t>
            </w:r>
            <w:r w:rsidR="00ED152C">
              <w:rPr>
                <w:rFonts w:ascii="Times New Roman" w:hAnsi="Times New Roman" w:cs="Times New Roman"/>
                <w:bCs/>
              </w:rPr>
              <w:t>ach</w:t>
            </w:r>
            <w:r w:rsidR="00A955EA" w:rsidRPr="00A955EA">
              <w:rPr>
                <w:rFonts w:ascii="Times New Roman" w:hAnsi="Times New Roman" w:cs="Times New Roman"/>
                <w:bCs/>
              </w:rPr>
              <w:t>.</w:t>
            </w:r>
          </w:p>
          <w:p w:rsidR="00527FCB" w:rsidRPr="005B23FB" w:rsidRDefault="00A955EA" w:rsidP="00A955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5EA">
              <w:rPr>
                <w:rFonts w:ascii="Times New Roman" w:hAnsi="Times New Roman" w:cs="Times New Roman"/>
                <w:bCs/>
              </w:rPr>
              <w:t>Przykładowe podmioty należące do sektora finansów publicznych: jednostki samorządu terytorialnego, samorządowe instytucje kultury, publiczne placówki oświatowe.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Pr="00232F72" w:rsidRDefault="00A955EA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55EA">
              <w:rPr>
                <w:rFonts w:ascii="Times New Roman" w:hAnsi="Times New Roman" w:cs="Times New Roman"/>
                <w:b/>
                <w:bCs/>
              </w:rPr>
              <w:t>Wnioskodawca spoza sektora finansów publicznych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C95B37" w:rsidRPr="00232F72" w:rsidRDefault="00A955EA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55EA">
              <w:rPr>
                <w:rFonts w:ascii="Times New Roman" w:hAnsi="Times New Roman" w:cs="Times New Roman"/>
                <w:b/>
                <w:bCs/>
              </w:rPr>
              <w:t>Wnioskodawca z sektora finan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A955EA">
              <w:rPr>
                <w:rFonts w:ascii="Times New Roman" w:hAnsi="Times New Roman" w:cs="Times New Roman"/>
                <w:b/>
                <w:bCs/>
              </w:rPr>
              <w:t>ów publicznych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3B10F5">
        <w:trPr>
          <w:trHeight w:val="568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C7707F" w:rsidRDefault="00527FCB" w:rsidP="00A955E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="00A9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Innowacyjność operacji</w:t>
            </w:r>
          </w:p>
        </w:tc>
      </w:tr>
      <w:tr w:rsidR="00527FCB" w:rsidRPr="00C95B37" w:rsidTr="003B10F5">
        <w:trPr>
          <w:trHeight w:val="55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A955EA" w:rsidRPr="003536B8" w:rsidRDefault="00A955EA" w:rsidP="00A955E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955E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A955EA" w:rsidRDefault="00A955EA" w:rsidP="00A955E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527FCB" w:rsidRDefault="00A955EA" w:rsidP="00A955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LGD „Poleska Dolina Bugu” obejmuje następujące gminy: Włodawa miejska i Włodawa wiejska, Hańsk, Wola Uhruska, Ruda-Huta, Hanna, Wyryki, Stary Brus.</w:t>
            </w: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188" w:type="dxa"/>
            <w:vAlign w:val="center"/>
          </w:tcPr>
          <w:p w:rsidR="00A955EA" w:rsidRPr="00A955EA" w:rsidRDefault="00A955EA" w:rsidP="00A955E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55EA">
              <w:rPr>
                <w:rFonts w:ascii="Times New Roman" w:hAnsi="Times New Roman" w:cs="Times New Roman"/>
                <w:b/>
                <w:bCs/>
              </w:rPr>
              <w:t>Projekt jest innowacyjny w skali całego obszaru LGD</w:t>
            </w:r>
          </w:p>
          <w:p w:rsidR="00A955EA" w:rsidRPr="00A955EA" w:rsidRDefault="00A955EA" w:rsidP="00A955E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955EA">
              <w:rPr>
                <w:rFonts w:ascii="Times New Roman" w:hAnsi="Times New Roman" w:cs="Times New Roman"/>
                <w:bCs/>
              </w:rPr>
              <w:t>Uzasadnienie:</w:t>
            </w:r>
          </w:p>
          <w:p w:rsidR="00A955EA" w:rsidRPr="00A955EA" w:rsidRDefault="00A955EA" w:rsidP="00A955E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Pr="00D06976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A955EA">
        <w:trPr>
          <w:trHeight w:val="1574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</w:tcPr>
          <w:p w:rsidR="00A955EA" w:rsidRDefault="00A955EA" w:rsidP="00A955E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A955EA" w:rsidRPr="00DC0BDB" w:rsidRDefault="00A955EA" w:rsidP="00A955E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06976" w:rsidRPr="00D06976" w:rsidRDefault="00D06976" w:rsidP="00A955E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55EA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A955EA" w:rsidRDefault="00A955EA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188" w:type="dxa"/>
            <w:vAlign w:val="center"/>
          </w:tcPr>
          <w:p w:rsidR="00A955EA" w:rsidRPr="00C7707F" w:rsidRDefault="00A955EA" w:rsidP="00C7707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6" w:type="dxa"/>
          </w:tcPr>
          <w:p w:rsidR="00A955EA" w:rsidRPr="00C95B37" w:rsidRDefault="00A955EA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3B10F5">
        <w:trPr>
          <w:trHeight w:val="413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3536B8" w:rsidRDefault="00527FCB" w:rsidP="003B10F5">
            <w:pPr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="003B1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Komplementarność</w:t>
            </w: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operacji</w:t>
            </w:r>
          </w:p>
        </w:tc>
      </w:tr>
      <w:tr w:rsidR="00527FCB" w:rsidRPr="00C95B37" w:rsidTr="003B10F5">
        <w:trPr>
          <w:trHeight w:val="124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3B10F5" w:rsidRPr="003536B8" w:rsidRDefault="00527FCB" w:rsidP="003B10F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27FCB" w:rsidRPr="003B10F5" w:rsidRDefault="003B10F5" w:rsidP="003B10F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B10F5">
              <w:rPr>
                <w:rFonts w:ascii="Times New Roman" w:hAnsi="Times New Roman" w:cs="Times New Roman"/>
                <w:bCs/>
              </w:rPr>
              <w:t>Projekt jest komplementarny, jeżeli działania przewidziane w projekcie są komplementarne w stosunku do aktualnie istniejących działań realizowanych przez Wnioskodawcę lub inne podmioty na obszarze objętym LSR.</w:t>
            </w:r>
            <w:r>
              <w:rPr>
                <w:rFonts w:ascii="Times New Roman" w:hAnsi="Times New Roman" w:cs="Times New Roman"/>
                <w:bCs/>
              </w:rPr>
              <w:t xml:space="preserve"> Rada oceniając projekt wedle tego kryterium będzie brała pod uwagę i</w:t>
            </w:r>
            <w:r w:rsidRPr="003B10F5">
              <w:rPr>
                <w:rFonts w:ascii="Times New Roman" w:hAnsi="Times New Roman" w:cs="Times New Roman"/>
                <w:bCs/>
              </w:rPr>
              <w:t xml:space="preserve">nformacje </w:t>
            </w:r>
            <w:r>
              <w:rPr>
                <w:rFonts w:ascii="Times New Roman" w:hAnsi="Times New Roman" w:cs="Times New Roman"/>
                <w:bCs/>
              </w:rPr>
              <w:t xml:space="preserve">zawarte </w:t>
            </w:r>
            <w:r w:rsidRPr="003B10F5">
              <w:rPr>
                <w:rFonts w:ascii="Times New Roman" w:hAnsi="Times New Roman" w:cs="Times New Roman"/>
                <w:bCs/>
              </w:rPr>
              <w:t>we wniosku, oświadczenie beneficjen</w:t>
            </w:r>
            <w:r>
              <w:rPr>
                <w:rFonts w:ascii="Times New Roman" w:hAnsi="Times New Roman" w:cs="Times New Roman"/>
                <w:bCs/>
              </w:rPr>
              <w:t>ta oraz</w:t>
            </w:r>
            <w:r w:rsidRPr="003B10F5">
              <w:rPr>
                <w:rFonts w:ascii="Times New Roman" w:hAnsi="Times New Roman" w:cs="Times New Roman"/>
                <w:bCs/>
              </w:rPr>
              <w:t xml:space="preserve"> informacje powszechnie dostępne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Default="00153C46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Operacja</w:t>
            </w:r>
            <w:r w:rsidR="00232F72" w:rsidRPr="00232F72">
              <w:rPr>
                <w:rFonts w:ascii="Times New Roman" w:hAnsi="Times New Roman" w:cs="Times New Roman"/>
                <w:b/>
                <w:bCs/>
              </w:rPr>
              <w:t xml:space="preserve"> jest </w:t>
            </w:r>
            <w:r w:rsidR="003B10F5">
              <w:rPr>
                <w:rFonts w:ascii="Times New Roman" w:hAnsi="Times New Roman" w:cs="Times New Roman"/>
                <w:b/>
                <w:bCs/>
              </w:rPr>
              <w:t>komplementarn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DC0BDB" w:rsidRPr="00232F72" w:rsidRDefault="00153C46" w:rsidP="00153C4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Operacja</w:t>
            </w:r>
            <w:r w:rsidR="00232F72" w:rsidRPr="00232F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B10F5">
              <w:rPr>
                <w:rFonts w:ascii="Times New Roman" w:hAnsi="Times New Roman" w:cs="Times New Roman"/>
                <w:b/>
                <w:bCs/>
              </w:rPr>
              <w:t>nie jest komplementarn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3B10F5">
        <w:trPr>
          <w:trHeight w:val="49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603582" w:rsidRDefault="00527FCB" w:rsidP="003B10F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  <w:r w:rsidR="003B1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aktywizujące</w:t>
            </w:r>
          </w:p>
        </w:tc>
      </w:tr>
      <w:tr w:rsidR="003B10F5" w:rsidRPr="00C95B37" w:rsidTr="003B10F5">
        <w:trPr>
          <w:trHeight w:val="888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3B10F5" w:rsidRPr="00927FEF" w:rsidRDefault="003B10F5" w:rsidP="003B1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3B10F5" w:rsidRDefault="003B10F5" w:rsidP="003B10F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Kryterium preferuje</w:t>
            </w:r>
            <w:r w:rsidRPr="000154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01548F">
              <w:rPr>
                <w:rFonts w:ascii="Times New Roman" w:hAnsi="Times New Roman" w:cs="Times New Roman"/>
                <w:bCs/>
              </w:rPr>
              <w:t xml:space="preserve">nioskodawców, którzy nie korzystali ze środków </w:t>
            </w:r>
            <w:r>
              <w:rPr>
                <w:rFonts w:ascii="Times New Roman" w:hAnsi="Times New Roman" w:cs="Times New Roman"/>
                <w:bCs/>
              </w:rPr>
              <w:t xml:space="preserve">przeznaczonych na realizację </w:t>
            </w:r>
            <w:r w:rsidRPr="0001548F">
              <w:rPr>
                <w:rFonts w:ascii="Times New Roman" w:hAnsi="Times New Roman" w:cs="Times New Roman"/>
                <w:bCs/>
              </w:rPr>
              <w:t xml:space="preserve">LSR w okresie </w:t>
            </w:r>
            <w:r>
              <w:rPr>
                <w:rFonts w:ascii="Times New Roman" w:hAnsi="Times New Roman" w:cs="Times New Roman"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Cs/>
              </w:rPr>
              <w:t xml:space="preserve">2007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1548F">
              <w:rPr>
                <w:rFonts w:ascii="Times New Roman" w:hAnsi="Times New Roman" w:cs="Times New Roman"/>
                <w:bCs/>
              </w:rPr>
              <w:t xml:space="preserve"> 2013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767F6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dostępne w bazie danych LGD.</w:t>
            </w:r>
          </w:p>
        </w:tc>
      </w:tr>
      <w:tr w:rsidR="003B10F5" w:rsidRPr="00C95B37" w:rsidTr="003B10F5">
        <w:trPr>
          <w:trHeight w:val="702"/>
        </w:trPr>
        <w:tc>
          <w:tcPr>
            <w:tcW w:w="570" w:type="dxa"/>
            <w:shd w:val="clear" w:color="auto" w:fill="auto"/>
            <w:vAlign w:val="center"/>
          </w:tcPr>
          <w:p w:rsidR="003B10F5" w:rsidRPr="003B10F5" w:rsidRDefault="003B10F5" w:rsidP="003B10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B10F5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3B10F5" w:rsidRPr="00D43B8A" w:rsidRDefault="003B10F5" w:rsidP="003B10F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>Wnioskodawca nie korzystał ze środków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3B10F5" w:rsidRPr="00C95B37" w:rsidRDefault="003B10F5" w:rsidP="003B10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B10F5" w:rsidRPr="00C95B37" w:rsidTr="003B10F5">
        <w:trPr>
          <w:trHeight w:val="712"/>
        </w:trPr>
        <w:tc>
          <w:tcPr>
            <w:tcW w:w="570" w:type="dxa"/>
            <w:shd w:val="clear" w:color="auto" w:fill="auto"/>
            <w:vAlign w:val="center"/>
          </w:tcPr>
          <w:p w:rsidR="003B10F5" w:rsidRPr="003B10F5" w:rsidRDefault="003B10F5" w:rsidP="003B10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B10F5">
              <w:rPr>
                <w:rFonts w:ascii="Times New Roman" w:hAnsi="Times New Roman" w:cs="Times New Roman"/>
                <w:b/>
                <w:bCs/>
                <w:sz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B10F5" w:rsidRPr="00D43B8A" w:rsidRDefault="003B10F5" w:rsidP="003B10F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 xml:space="preserve">Wnioskodawca korzystał ze środków </w:t>
            </w:r>
            <w:r>
              <w:rPr>
                <w:rFonts w:ascii="Times New Roman" w:hAnsi="Times New Roman" w:cs="Times New Roman"/>
                <w:b/>
                <w:bCs/>
              </w:rPr>
              <w:t>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3B10F5" w:rsidRPr="00C95B37" w:rsidRDefault="003B10F5" w:rsidP="003B10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3B10F5">
        <w:trPr>
          <w:trHeight w:val="485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C95B37" w:rsidRDefault="00527FCB" w:rsidP="003B10F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="003B1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Oddziaływanie promocyjne projektu</w:t>
            </w:r>
          </w:p>
        </w:tc>
      </w:tr>
      <w:tr w:rsidR="00527FCB" w:rsidRPr="00C95B37" w:rsidTr="00527FCB">
        <w:trPr>
          <w:trHeight w:val="72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D43B8A" w:rsidRDefault="00527FCB" w:rsidP="003B10F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B10F5">
              <w:rPr>
                <w:rFonts w:ascii="Times New Roman" w:hAnsi="Times New Roman" w:cs="Times New Roman"/>
                <w:bCs/>
              </w:rPr>
              <w:t>Kryterium preferuje</w:t>
            </w:r>
            <w:r w:rsidR="003B10F5" w:rsidRPr="003B10F5">
              <w:rPr>
                <w:rFonts w:ascii="Times New Roman" w:hAnsi="Times New Roman" w:cs="Times New Roman"/>
                <w:bCs/>
              </w:rPr>
              <w:t xml:space="preserve"> operacje, które zakładają dwujęzyczność materiałów promocyjnych oraz wykorzystanie </w:t>
            </w:r>
            <w:proofErr w:type="spellStart"/>
            <w:r w:rsidR="003B10F5" w:rsidRPr="003B10F5">
              <w:rPr>
                <w:rFonts w:ascii="Times New Roman" w:hAnsi="Times New Roman" w:cs="Times New Roman"/>
                <w:bCs/>
              </w:rPr>
              <w:t>loga</w:t>
            </w:r>
            <w:proofErr w:type="spellEnd"/>
            <w:r w:rsidR="003B10F5" w:rsidRPr="003B10F5">
              <w:rPr>
                <w:rFonts w:ascii="Times New Roman" w:hAnsi="Times New Roman" w:cs="Times New Roman"/>
                <w:bCs/>
              </w:rPr>
              <w:t xml:space="preserve"> i marki Poleskiej Doliny Bugu w celu wzmocnienia oddziaływania promocyjnego oraz zwiększenia rozpo</w:t>
            </w:r>
            <w:r w:rsidR="003B10F5">
              <w:rPr>
                <w:rFonts w:ascii="Times New Roman" w:hAnsi="Times New Roman" w:cs="Times New Roman"/>
                <w:bCs/>
              </w:rPr>
              <w:t>z</w:t>
            </w:r>
            <w:r w:rsidR="003B10F5" w:rsidRPr="003B10F5">
              <w:rPr>
                <w:rFonts w:ascii="Times New Roman" w:hAnsi="Times New Roman" w:cs="Times New Roman"/>
                <w:bCs/>
              </w:rPr>
              <w:t>n</w:t>
            </w:r>
            <w:r w:rsidR="003B10F5">
              <w:rPr>
                <w:rFonts w:ascii="Times New Roman" w:hAnsi="Times New Roman" w:cs="Times New Roman"/>
                <w:bCs/>
              </w:rPr>
              <w:t>a</w:t>
            </w:r>
            <w:r w:rsidR="003B10F5" w:rsidRPr="003B10F5">
              <w:rPr>
                <w:rFonts w:ascii="Times New Roman" w:hAnsi="Times New Roman" w:cs="Times New Roman"/>
                <w:bCs/>
              </w:rPr>
              <w:t>walności obszaru Poleskiej Doliny Bugu.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3536B8" w:rsidRPr="00D43B8A" w:rsidRDefault="003B10F5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B10F5">
              <w:rPr>
                <w:rFonts w:ascii="Times New Roman" w:hAnsi="Times New Roman" w:cs="Times New Roman"/>
                <w:b/>
                <w:bCs/>
              </w:rPr>
              <w:t>Projekt zakłada przygotowanie materiałów co najmniej dwujęzycznych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Pr="00D43B8A" w:rsidRDefault="003B10F5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B10F5">
              <w:rPr>
                <w:rFonts w:ascii="Times New Roman" w:hAnsi="Times New Roman" w:cs="Times New Roman"/>
                <w:b/>
                <w:bCs/>
              </w:rPr>
              <w:t>Wnioskodawca wyeksponuje w materiałach promocyjnych nazwę obszaru -  Poleska Dolina Bugu</w:t>
            </w:r>
            <w:bookmarkStart w:id="0" w:name="_GoBack"/>
            <w:bookmarkEnd w:id="0"/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B10F5" w:rsidRPr="00C95B37" w:rsidTr="00527FCB">
        <w:trPr>
          <w:trHeight w:val="567"/>
        </w:trPr>
        <w:tc>
          <w:tcPr>
            <w:tcW w:w="570" w:type="dxa"/>
            <w:vAlign w:val="center"/>
          </w:tcPr>
          <w:p w:rsidR="003B10F5" w:rsidRPr="00D43B8A" w:rsidRDefault="003B10F5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188" w:type="dxa"/>
            <w:vAlign w:val="center"/>
          </w:tcPr>
          <w:p w:rsidR="003B10F5" w:rsidRPr="00D43B8A" w:rsidRDefault="003B10F5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B10F5">
              <w:rPr>
                <w:rFonts w:ascii="Times New Roman" w:hAnsi="Times New Roman" w:cs="Times New Roman"/>
                <w:b/>
                <w:bCs/>
              </w:rPr>
              <w:t>Żadne z powyższych</w:t>
            </w:r>
          </w:p>
        </w:tc>
        <w:tc>
          <w:tcPr>
            <w:tcW w:w="706" w:type="dxa"/>
          </w:tcPr>
          <w:p w:rsidR="003B10F5" w:rsidRPr="00C95B37" w:rsidRDefault="003B10F5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AB2958">
        <w:trPr>
          <w:trHeight w:val="500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4548CD" w:rsidRPr="008E0C56" w:rsidRDefault="004548CD" w:rsidP="00C34863">
      <w:pPr>
        <w:rPr>
          <w:rFonts w:ascii="Times New Roman" w:hAnsi="Times New Roman" w:cs="Times New Roman"/>
        </w:rPr>
      </w:pPr>
    </w:p>
    <w:sectPr w:rsidR="004548CD" w:rsidRPr="008E0C56" w:rsidSect="00AB2958">
      <w:headerReference w:type="default" r:id="rId12"/>
      <w:footerReference w:type="default" r:id="rId13"/>
      <w:pgSz w:w="11906" w:h="16838"/>
      <w:pgMar w:top="833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37" w:rsidRDefault="00E60437" w:rsidP="007E5176">
      <w:r>
        <w:separator/>
      </w:r>
    </w:p>
  </w:endnote>
  <w:endnote w:type="continuationSeparator" w:id="0">
    <w:p w:rsidR="00E60437" w:rsidRDefault="00E60437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0277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A0277B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37" w:rsidRDefault="00E60437" w:rsidP="007E5176">
      <w:r>
        <w:separator/>
      </w:r>
    </w:p>
  </w:footnote>
  <w:footnote w:type="continuationSeparator" w:id="0">
    <w:p w:rsidR="00E60437" w:rsidRDefault="00E60437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611048" w:rsidP="00DC26C1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77D8C"/>
    <w:multiLevelType w:val="hybridMultilevel"/>
    <w:tmpl w:val="2F3A44EA"/>
    <w:lvl w:ilvl="0" w:tplc="29B45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025D7"/>
    <w:rsid w:val="00014BB4"/>
    <w:rsid w:val="0001548F"/>
    <w:rsid w:val="0007204E"/>
    <w:rsid w:val="00083DF2"/>
    <w:rsid w:val="000C4E64"/>
    <w:rsid w:val="000F4B9B"/>
    <w:rsid w:val="000F5DDA"/>
    <w:rsid w:val="00150962"/>
    <w:rsid w:val="00153C46"/>
    <w:rsid w:val="001E4700"/>
    <w:rsid w:val="0020285B"/>
    <w:rsid w:val="00223DEA"/>
    <w:rsid w:val="00231182"/>
    <w:rsid w:val="00232F72"/>
    <w:rsid w:val="00261D61"/>
    <w:rsid w:val="002A68BC"/>
    <w:rsid w:val="0033201A"/>
    <w:rsid w:val="003536B8"/>
    <w:rsid w:val="00363C31"/>
    <w:rsid w:val="003940AB"/>
    <w:rsid w:val="003B10F5"/>
    <w:rsid w:val="003B6BFC"/>
    <w:rsid w:val="00446925"/>
    <w:rsid w:val="004548CD"/>
    <w:rsid w:val="004570A3"/>
    <w:rsid w:val="004A4143"/>
    <w:rsid w:val="004B2F3D"/>
    <w:rsid w:val="0052044C"/>
    <w:rsid w:val="00527FCB"/>
    <w:rsid w:val="00537545"/>
    <w:rsid w:val="005B23FB"/>
    <w:rsid w:val="005D7BE7"/>
    <w:rsid w:val="00611048"/>
    <w:rsid w:val="00647031"/>
    <w:rsid w:val="00664237"/>
    <w:rsid w:val="00725E2C"/>
    <w:rsid w:val="00726672"/>
    <w:rsid w:val="00776901"/>
    <w:rsid w:val="007A3B9C"/>
    <w:rsid w:val="007D26A3"/>
    <w:rsid w:val="007E5176"/>
    <w:rsid w:val="007F122A"/>
    <w:rsid w:val="00831BA7"/>
    <w:rsid w:val="00844051"/>
    <w:rsid w:val="008A2B69"/>
    <w:rsid w:val="008D7475"/>
    <w:rsid w:val="008E0C56"/>
    <w:rsid w:val="00927FEF"/>
    <w:rsid w:val="009632FC"/>
    <w:rsid w:val="00967282"/>
    <w:rsid w:val="00977A73"/>
    <w:rsid w:val="00A0277B"/>
    <w:rsid w:val="00A15A63"/>
    <w:rsid w:val="00A15B6E"/>
    <w:rsid w:val="00A54770"/>
    <w:rsid w:val="00A60534"/>
    <w:rsid w:val="00A738BF"/>
    <w:rsid w:val="00A955EA"/>
    <w:rsid w:val="00AA74D0"/>
    <w:rsid w:val="00AB2958"/>
    <w:rsid w:val="00AB5D0C"/>
    <w:rsid w:val="00AC2F29"/>
    <w:rsid w:val="00AC37F1"/>
    <w:rsid w:val="00AE6D31"/>
    <w:rsid w:val="00B312F5"/>
    <w:rsid w:val="00BE17AB"/>
    <w:rsid w:val="00BE7288"/>
    <w:rsid w:val="00BF5973"/>
    <w:rsid w:val="00C02438"/>
    <w:rsid w:val="00C34863"/>
    <w:rsid w:val="00C7707F"/>
    <w:rsid w:val="00C85E83"/>
    <w:rsid w:val="00C92807"/>
    <w:rsid w:val="00C95B37"/>
    <w:rsid w:val="00D06976"/>
    <w:rsid w:val="00D17E7F"/>
    <w:rsid w:val="00D21AA6"/>
    <w:rsid w:val="00D43B8A"/>
    <w:rsid w:val="00D63B5F"/>
    <w:rsid w:val="00DB73F5"/>
    <w:rsid w:val="00DC0BDB"/>
    <w:rsid w:val="00DC26C1"/>
    <w:rsid w:val="00DE4324"/>
    <w:rsid w:val="00E60437"/>
    <w:rsid w:val="00E636FF"/>
    <w:rsid w:val="00E671AD"/>
    <w:rsid w:val="00E767F6"/>
    <w:rsid w:val="00ED152C"/>
    <w:rsid w:val="00F25B3B"/>
    <w:rsid w:val="00F51F28"/>
    <w:rsid w:val="00F653C8"/>
    <w:rsid w:val="00F962FE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9E0B31-63CB-41E5-B044-F4CFB3B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FC6A-1E0C-4A97-9C5F-AEB03114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Konto Microsoft</cp:lastModifiedBy>
  <cp:revision>36</cp:revision>
  <cp:lastPrinted>2022-10-12T10:15:00Z</cp:lastPrinted>
  <dcterms:created xsi:type="dcterms:W3CDTF">2016-04-12T12:21:00Z</dcterms:created>
  <dcterms:modified xsi:type="dcterms:W3CDTF">2022-10-12T10:37:00Z</dcterms:modified>
</cp:coreProperties>
</file>